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2A1C69" w14:textId="1000D969" w:rsidR="00A5310F" w:rsidRDefault="00F87D1E" w:rsidP="00F87D1E">
      <w:pPr>
        <w:spacing w:line="276" w:lineRule="auto"/>
        <w:jc w:val="center"/>
        <w:outlineLvl w:val="3"/>
        <w:rPr>
          <w:rFonts w:asciiTheme="majorHAnsi" w:hAnsiTheme="majorHAnsi" w:cstheme="majorBidi"/>
          <w:b/>
          <w:bCs/>
          <w:sz w:val="30"/>
          <w:szCs w:val="30"/>
        </w:rPr>
      </w:pPr>
      <w:r w:rsidRPr="00F87D1E">
        <w:rPr>
          <w:rFonts w:asciiTheme="majorHAnsi" w:hAnsiTheme="majorHAnsi" w:cstheme="majorBidi"/>
          <w:b/>
          <w:bCs/>
          <w:sz w:val="30"/>
          <w:szCs w:val="30"/>
        </w:rPr>
        <w:t>Professional Development and Job Satisfaction Among Government-Aided School Teachers: A Study from Valsad District, Gujarat</w:t>
      </w:r>
    </w:p>
    <w:p w14:paraId="272AEEE2" w14:textId="77777777" w:rsidR="001A473A" w:rsidRDefault="001A473A" w:rsidP="007F27F3">
      <w:pPr>
        <w:pStyle w:val="Default"/>
        <w:spacing w:line="276" w:lineRule="auto"/>
        <w:jc w:val="center"/>
        <w:rPr>
          <w:rFonts w:ascii="Sylfaen" w:hAnsi="Sylfaen"/>
          <w:b/>
          <w:sz w:val="22"/>
          <w:szCs w:val="22"/>
        </w:rPr>
      </w:pPr>
      <w:r w:rsidRPr="001A473A">
        <w:rPr>
          <w:rFonts w:ascii="Sylfaen" w:hAnsi="Sylfaen"/>
          <w:b/>
          <w:sz w:val="22"/>
          <w:szCs w:val="22"/>
        </w:rPr>
        <w:t xml:space="preserve">Kumari Puja </w:t>
      </w:r>
      <w:proofErr w:type="spellStart"/>
      <w:r w:rsidRPr="001A473A">
        <w:rPr>
          <w:rFonts w:ascii="Sylfaen" w:hAnsi="Sylfaen"/>
          <w:b/>
          <w:sz w:val="22"/>
          <w:szCs w:val="22"/>
        </w:rPr>
        <w:t>Kanakshi</w:t>
      </w:r>
      <w:proofErr w:type="spellEnd"/>
      <w:r w:rsidRPr="001A473A">
        <w:rPr>
          <w:rFonts w:ascii="Sylfaen" w:hAnsi="Sylfaen"/>
          <w:b/>
          <w:sz w:val="22"/>
          <w:szCs w:val="22"/>
        </w:rPr>
        <w:t xml:space="preserve"> Thakor</w:t>
      </w:r>
      <w:r w:rsidRPr="001A473A">
        <w:rPr>
          <w:rFonts w:ascii="Sylfaen" w:hAnsi="Sylfaen"/>
          <w:b/>
          <w:sz w:val="22"/>
          <w:szCs w:val="22"/>
          <w:vertAlign w:val="superscript"/>
        </w:rPr>
        <w:t>1</w:t>
      </w:r>
      <w:r w:rsidRPr="001A473A">
        <w:rPr>
          <w:rFonts w:ascii="Sylfaen" w:hAnsi="Sylfaen"/>
          <w:b/>
          <w:sz w:val="22"/>
          <w:szCs w:val="22"/>
        </w:rPr>
        <w:t>, Dr. Pavankumar</w:t>
      </w:r>
      <w:r w:rsidRPr="001A473A">
        <w:rPr>
          <w:rFonts w:ascii="Sylfaen" w:hAnsi="Sylfaen"/>
          <w:b/>
          <w:sz w:val="22"/>
          <w:szCs w:val="22"/>
          <w:vertAlign w:val="superscript"/>
        </w:rPr>
        <w:t>2</w:t>
      </w:r>
    </w:p>
    <w:p w14:paraId="766A25AB" w14:textId="77777777" w:rsidR="00A5310F" w:rsidRPr="00F26B02" w:rsidRDefault="00A5310F" w:rsidP="00A5310F">
      <w:pPr>
        <w:pStyle w:val="Default"/>
        <w:spacing w:line="276" w:lineRule="auto"/>
        <w:jc w:val="center"/>
        <w:rPr>
          <w:rFonts w:ascii="Sylfaen" w:hAnsi="Sylfaen"/>
          <w:sz w:val="22"/>
          <w:szCs w:val="22"/>
        </w:rPr>
      </w:pPr>
      <w:r>
        <w:rPr>
          <w:rFonts w:ascii="Sylfaen" w:hAnsi="Sylfaen"/>
          <w:sz w:val="22"/>
          <w:szCs w:val="22"/>
          <w:vertAlign w:val="superscript"/>
        </w:rPr>
        <w:t>1</w:t>
      </w:r>
      <w:r w:rsidRPr="00F26B02">
        <w:rPr>
          <w:rFonts w:ascii="Sylfaen" w:hAnsi="Sylfaen"/>
          <w:sz w:val="22"/>
          <w:szCs w:val="22"/>
        </w:rPr>
        <w:t xml:space="preserve">Research Scholar, Department of Education, Madhav University, </w:t>
      </w:r>
      <w:proofErr w:type="spellStart"/>
      <w:r w:rsidRPr="00F26B02">
        <w:rPr>
          <w:rFonts w:ascii="Sylfaen" w:hAnsi="Sylfaen"/>
          <w:sz w:val="22"/>
          <w:szCs w:val="22"/>
        </w:rPr>
        <w:t>Pinwara</w:t>
      </w:r>
      <w:proofErr w:type="spellEnd"/>
      <w:r w:rsidRPr="00F26B02">
        <w:rPr>
          <w:rFonts w:ascii="Sylfaen" w:hAnsi="Sylfaen"/>
          <w:sz w:val="22"/>
          <w:szCs w:val="22"/>
        </w:rPr>
        <w:t>, Rajasthan, India</w:t>
      </w:r>
    </w:p>
    <w:p w14:paraId="17D5B01A" w14:textId="57D54948" w:rsidR="004F41D3" w:rsidRDefault="00A5310F" w:rsidP="00A5310F">
      <w:pPr>
        <w:pStyle w:val="Default"/>
        <w:spacing w:line="276" w:lineRule="auto"/>
        <w:jc w:val="center"/>
        <w:rPr>
          <w:rFonts w:ascii="Sylfaen" w:hAnsi="Sylfaen"/>
          <w:sz w:val="22"/>
          <w:szCs w:val="22"/>
        </w:rPr>
      </w:pPr>
      <w:r>
        <w:rPr>
          <w:rFonts w:ascii="Sylfaen" w:hAnsi="Sylfaen"/>
          <w:sz w:val="22"/>
          <w:szCs w:val="22"/>
          <w:vertAlign w:val="superscript"/>
        </w:rPr>
        <w:t>2</w:t>
      </w:r>
      <w:r w:rsidRPr="00F26B02">
        <w:rPr>
          <w:rFonts w:ascii="Sylfaen" w:hAnsi="Sylfaen"/>
          <w:sz w:val="22"/>
          <w:szCs w:val="22"/>
        </w:rPr>
        <w:t xml:space="preserve">Professor, Department of Education, Madhav University, </w:t>
      </w:r>
      <w:proofErr w:type="spellStart"/>
      <w:r w:rsidRPr="00F26B02">
        <w:rPr>
          <w:rFonts w:ascii="Sylfaen" w:hAnsi="Sylfaen"/>
          <w:sz w:val="22"/>
          <w:szCs w:val="22"/>
        </w:rPr>
        <w:t>Pinwara</w:t>
      </w:r>
      <w:proofErr w:type="spellEnd"/>
      <w:r w:rsidRPr="00F26B02">
        <w:rPr>
          <w:rFonts w:ascii="Sylfaen" w:hAnsi="Sylfaen"/>
          <w:sz w:val="22"/>
          <w:szCs w:val="22"/>
        </w:rPr>
        <w:t>, Rajasthan, India</w:t>
      </w:r>
    </w:p>
    <w:p w14:paraId="2C693F07" w14:textId="77777777" w:rsidR="00A5310F" w:rsidRPr="00A5310F" w:rsidRDefault="00A5310F" w:rsidP="00A5310F">
      <w:pPr>
        <w:pStyle w:val="Default"/>
        <w:spacing w:line="276" w:lineRule="auto"/>
        <w:jc w:val="center"/>
        <w:rPr>
          <w:rFonts w:ascii="Sylfaen" w:hAnsi="Sylfaen"/>
          <w:sz w:val="22"/>
          <w:szCs w:val="22"/>
        </w:rPr>
      </w:pPr>
    </w:p>
    <w:tbl>
      <w:tblPr>
        <w:tblStyle w:val="TableGrid"/>
        <w:tblW w:w="4893"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0"/>
        <w:gridCol w:w="238"/>
        <w:gridCol w:w="7127"/>
      </w:tblGrid>
      <w:tr w:rsidR="00022D61" w:rsidRPr="00022D61" w14:paraId="707DCBE1" w14:textId="77777777" w:rsidTr="00CE473E">
        <w:trPr>
          <w:trHeight w:val="474"/>
          <w:jc w:val="center"/>
        </w:trPr>
        <w:tc>
          <w:tcPr>
            <w:tcW w:w="1416" w:type="pct"/>
            <w:tcBorders>
              <w:top w:val="single" w:sz="4" w:space="0" w:color="auto"/>
              <w:bottom w:val="single" w:sz="4" w:space="0" w:color="auto"/>
            </w:tcBorders>
          </w:tcPr>
          <w:p w14:paraId="179631D2" w14:textId="77777777" w:rsidR="00022D61" w:rsidRPr="00022D61" w:rsidRDefault="00022D61" w:rsidP="00CE473E">
            <w:pPr>
              <w:pStyle w:val="Els-Abstract-head"/>
              <w:spacing w:before="120" w:after="120"/>
              <w:ind w:left="-101" w:right="-101"/>
              <w:rPr>
                <w:rFonts w:ascii="Sylfaen" w:hAnsi="Sylfaen"/>
                <w:bCs/>
                <w:smallCaps/>
                <w:sz w:val="22"/>
                <w:szCs w:val="22"/>
              </w:rPr>
            </w:pPr>
            <w:r w:rsidRPr="00022D61">
              <w:rPr>
                <w:rFonts w:ascii="Sylfaen" w:hAnsi="Sylfaen"/>
                <w:bCs/>
                <w:smallCaps/>
                <w:sz w:val="22"/>
                <w:szCs w:val="22"/>
              </w:rPr>
              <w:t>A R T I C L E I N F O</w:t>
            </w:r>
          </w:p>
        </w:tc>
        <w:tc>
          <w:tcPr>
            <w:tcW w:w="116" w:type="pct"/>
            <w:tcBorders>
              <w:top w:val="single" w:sz="4" w:space="0" w:color="auto"/>
              <w:bottom w:val="nil"/>
            </w:tcBorders>
          </w:tcPr>
          <w:p w14:paraId="7801F132" w14:textId="77777777" w:rsidR="00022D61" w:rsidRPr="00022D61" w:rsidRDefault="00022D61" w:rsidP="00CE473E">
            <w:pPr>
              <w:ind w:left="-101" w:right="-101"/>
              <w:rPr>
                <w:rFonts w:ascii="Sylfaen" w:hAnsi="Sylfaen"/>
                <w:sz w:val="22"/>
                <w:szCs w:val="22"/>
              </w:rPr>
            </w:pPr>
          </w:p>
        </w:tc>
        <w:tc>
          <w:tcPr>
            <w:tcW w:w="3468" w:type="pct"/>
            <w:tcBorders>
              <w:top w:val="single" w:sz="4" w:space="0" w:color="auto"/>
              <w:bottom w:val="single" w:sz="4" w:space="0" w:color="auto"/>
            </w:tcBorders>
          </w:tcPr>
          <w:p w14:paraId="7D8EF5EF" w14:textId="77777777" w:rsidR="00022D61" w:rsidRPr="00022D61" w:rsidRDefault="00022D61" w:rsidP="00CE473E">
            <w:pPr>
              <w:pStyle w:val="Els-Abstract-head"/>
              <w:spacing w:before="120" w:after="120"/>
              <w:ind w:left="-105"/>
              <w:rPr>
                <w:rFonts w:ascii="Sylfaen" w:hAnsi="Sylfaen"/>
                <w:bCs/>
                <w:smallCaps/>
                <w:sz w:val="22"/>
                <w:szCs w:val="22"/>
              </w:rPr>
            </w:pPr>
            <w:r w:rsidRPr="00022D61">
              <w:rPr>
                <w:rFonts w:ascii="Sylfaen" w:hAnsi="Sylfaen"/>
                <w:bCs/>
                <w:smallCaps/>
                <w:sz w:val="22"/>
                <w:szCs w:val="22"/>
              </w:rPr>
              <w:t>A B S T R A C T</w:t>
            </w:r>
          </w:p>
        </w:tc>
      </w:tr>
      <w:tr w:rsidR="003C042A" w:rsidRPr="00022D61" w14:paraId="5189447A" w14:textId="77777777" w:rsidTr="00CE473E">
        <w:trPr>
          <w:trHeight w:val="872"/>
          <w:jc w:val="center"/>
        </w:trPr>
        <w:tc>
          <w:tcPr>
            <w:tcW w:w="1416" w:type="pct"/>
            <w:tcBorders>
              <w:top w:val="single" w:sz="4" w:space="0" w:color="auto"/>
              <w:bottom w:val="single" w:sz="4" w:space="0" w:color="auto"/>
            </w:tcBorders>
          </w:tcPr>
          <w:p w14:paraId="0D152F75" w14:textId="77777777" w:rsidR="003C042A" w:rsidRPr="00026458" w:rsidRDefault="003C042A" w:rsidP="003C042A">
            <w:pPr>
              <w:pStyle w:val="Els-history"/>
              <w:pBdr>
                <w:top w:val="none" w:sz="0" w:space="0" w:color="auto"/>
              </w:pBdr>
              <w:spacing w:before="120" w:line="276" w:lineRule="auto"/>
              <w:ind w:right="-101"/>
              <w:rPr>
                <w:rFonts w:ascii="Sylfaen" w:hAnsi="Sylfaen"/>
                <w:b/>
                <w:bCs/>
                <w:sz w:val="22"/>
                <w:szCs w:val="22"/>
              </w:rPr>
            </w:pPr>
            <w:r w:rsidRPr="00026458">
              <w:rPr>
                <w:rFonts w:ascii="Sylfaen" w:hAnsi="Sylfaen"/>
                <w:b/>
                <w:bCs/>
                <w:sz w:val="22"/>
                <w:szCs w:val="22"/>
              </w:rPr>
              <w:t>Article History:</w:t>
            </w:r>
          </w:p>
          <w:p w14:paraId="00CA44DE" w14:textId="15E750EA" w:rsidR="003C042A" w:rsidRPr="00B8313F" w:rsidRDefault="003C042A" w:rsidP="003C042A">
            <w:pPr>
              <w:pStyle w:val="Els-history"/>
              <w:pBdr>
                <w:top w:val="none" w:sz="0" w:space="0" w:color="auto"/>
              </w:pBdr>
              <w:spacing w:before="120" w:line="276" w:lineRule="auto"/>
              <w:ind w:right="-101"/>
              <w:rPr>
                <w:rFonts w:ascii="Sylfaen" w:hAnsi="Sylfaen"/>
                <w:b/>
                <w:bCs/>
                <w:sz w:val="22"/>
                <w:szCs w:val="22"/>
              </w:rPr>
            </w:pPr>
            <w:r w:rsidRPr="00B8313F">
              <w:rPr>
                <w:rFonts w:ascii="Sylfaen" w:eastAsia="Calibri" w:hAnsi="Sylfaen"/>
                <w:sz w:val="22"/>
                <w:szCs w:val="22"/>
              </w:rPr>
              <w:t xml:space="preserve">Accepted : </w:t>
            </w:r>
            <w:r w:rsidR="00CF02E0">
              <w:rPr>
                <w:rFonts w:ascii="Sylfaen" w:eastAsia="Calibri" w:hAnsi="Sylfaen"/>
                <w:sz w:val="22"/>
                <w:szCs w:val="22"/>
              </w:rPr>
              <w:t>01</w:t>
            </w:r>
            <w:r w:rsidRPr="00B8313F">
              <w:rPr>
                <w:rFonts w:ascii="Sylfaen" w:eastAsia="Calibri" w:hAnsi="Sylfaen"/>
                <w:sz w:val="22"/>
                <w:szCs w:val="22"/>
              </w:rPr>
              <w:t xml:space="preserve"> </w:t>
            </w:r>
            <w:r w:rsidR="00C06BE4">
              <w:rPr>
                <w:rFonts w:ascii="Sylfaen" w:eastAsia="Calibri" w:hAnsi="Sylfaen"/>
                <w:sz w:val="22"/>
                <w:szCs w:val="22"/>
              </w:rPr>
              <w:t>Ju</w:t>
            </w:r>
            <w:r w:rsidR="00CF02E0">
              <w:rPr>
                <w:rFonts w:ascii="Sylfaen" w:eastAsia="Calibri" w:hAnsi="Sylfaen"/>
                <w:sz w:val="22"/>
                <w:szCs w:val="22"/>
              </w:rPr>
              <w:t>ly</w:t>
            </w:r>
            <w:r w:rsidRPr="00B8313F">
              <w:rPr>
                <w:rFonts w:ascii="Sylfaen" w:eastAsia="Calibri" w:hAnsi="Sylfaen"/>
                <w:sz w:val="22"/>
                <w:szCs w:val="22"/>
              </w:rPr>
              <w:t xml:space="preserve"> 202</w:t>
            </w:r>
            <w:r>
              <w:rPr>
                <w:rFonts w:ascii="Sylfaen" w:eastAsia="Calibri" w:hAnsi="Sylfaen"/>
                <w:sz w:val="22"/>
                <w:szCs w:val="22"/>
              </w:rPr>
              <w:t>5</w:t>
            </w:r>
          </w:p>
          <w:p w14:paraId="6AC0B650" w14:textId="77F6AE55" w:rsidR="003C042A" w:rsidRPr="00B8313F" w:rsidRDefault="003C042A" w:rsidP="003C042A">
            <w:pPr>
              <w:pStyle w:val="Els-history"/>
              <w:pBdr>
                <w:top w:val="none" w:sz="0" w:space="0" w:color="auto"/>
              </w:pBdr>
              <w:spacing w:line="276" w:lineRule="auto"/>
              <w:ind w:right="-101"/>
              <w:rPr>
                <w:rFonts w:ascii="Sylfaen" w:eastAsia="Calibri" w:hAnsi="Sylfaen"/>
                <w:sz w:val="22"/>
                <w:szCs w:val="22"/>
              </w:rPr>
            </w:pPr>
            <w:r w:rsidRPr="00B8313F">
              <w:rPr>
                <w:rFonts w:ascii="Sylfaen" w:eastAsia="Calibri" w:hAnsi="Sylfaen"/>
                <w:sz w:val="22"/>
                <w:szCs w:val="22"/>
              </w:rPr>
              <w:t xml:space="preserve">Published: </w:t>
            </w:r>
            <w:r w:rsidR="00674478">
              <w:rPr>
                <w:rFonts w:ascii="Sylfaen" w:eastAsia="Calibri" w:hAnsi="Sylfaen"/>
                <w:sz w:val="22"/>
                <w:szCs w:val="22"/>
              </w:rPr>
              <w:t>1</w:t>
            </w:r>
            <w:r w:rsidR="001D25F9">
              <w:rPr>
                <w:rFonts w:ascii="Sylfaen" w:eastAsia="Calibri" w:hAnsi="Sylfaen"/>
                <w:sz w:val="22"/>
                <w:szCs w:val="22"/>
              </w:rPr>
              <w:t>9</w:t>
            </w:r>
            <w:r w:rsidRPr="00B8313F">
              <w:rPr>
                <w:rFonts w:ascii="Sylfaen" w:eastAsia="Calibri" w:hAnsi="Sylfaen"/>
                <w:sz w:val="22"/>
                <w:szCs w:val="22"/>
              </w:rPr>
              <w:t xml:space="preserve"> </w:t>
            </w:r>
            <w:r w:rsidR="00C06BE4" w:rsidRPr="00337E67">
              <w:rPr>
                <w:rFonts w:ascii="Sylfaen" w:eastAsia="Calibri" w:hAnsi="Sylfaen"/>
                <w:sz w:val="22"/>
                <w:szCs w:val="22"/>
              </w:rPr>
              <w:t>July</w:t>
            </w:r>
            <w:r w:rsidR="00C06BE4" w:rsidRPr="00B8313F">
              <w:rPr>
                <w:rFonts w:ascii="Sylfaen" w:eastAsia="Calibri" w:hAnsi="Sylfaen"/>
                <w:sz w:val="22"/>
                <w:szCs w:val="22"/>
              </w:rPr>
              <w:t xml:space="preserve"> </w:t>
            </w:r>
            <w:r w:rsidRPr="00B8313F">
              <w:rPr>
                <w:rFonts w:ascii="Sylfaen" w:eastAsia="Calibri" w:hAnsi="Sylfaen"/>
                <w:sz w:val="22"/>
                <w:szCs w:val="22"/>
              </w:rPr>
              <w:t>202</w:t>
            </w:r>
            <w:r>
              <w:rPr>
                <w:rFonts w:ascii="Sylfaen" w:eastAsia="Calibri" w:hAnsi="Sylfaen"/>
                <w:sz w:val="22"/>
                <w:szCs w:val="22"/>
              </w:rPr>
              <w:t>5</w:t>
            </w:r>
          </w:p>
          <w:p w14:paraId="43083059" w14:textId="77777777" w:rsidR="003C042A" w:rsidRPr="00022D61" w:rsidRDefault="003C042A" w:rsidP="003C042A">
            <w:pPr>
              <w:autoSpaceDE w:val="0"/>
              <w:autoSpaceDN w:val="0"/>
              <w:adjustRightInd w:val="0"/>
              <w:spacing w:line="276" w:lineRule="auto"/>
              <w:jc w:val="both"/>
              <w:rPr>
                <w:rFonts w:ascii="Sylfaen" w:hAnsi="Sylfaen"/>
                <w:i/>
                <w:iCs/>
                <w:sz w:val="22"/>
                <w:szCs w:val="22"/>
                <w:lang w:val="en-US"/>
              </w:rPr>
            </w:pPr>
          </w:p>
        </w:tc>
        <w:tc>
          <w:tcPr>
            <w:tcW w:w="116" w:type="pct"/>
            <w:vMerge w:val="restart"/>
            <w:tcBorders>
              <w:top w:val="nil"/>
            </w:tcBorders>
          </w:tcPr>
          <w:p w14:paraId="2C33947C" w14:textId="77777777" w:rsidR="003C042A" w:rsidRPr="00022D61" w:rsidRDefault="003C042A" w:rsidP="003C042A">
            <w:pPr>
              <w:ind w:left="-101" w:right="-101"/>
              <w:rPr>
                <w:rFonts w:ascii="Sylfaen" w:hAnsi="Sylfaen"/>
                <w:sz w:val="22"/>
                <w:szCs w:val="22"/>
              </w:rPr>
            </w:pPr>
          </w:p>
        </w:tc>
        <w:tc>
          <w:tcPr>
            <w:tcW w:w="3468" w:type="pct"/>
            <w:vMerge w:val="restart"/>
            <w:tcBorders>
              <w:top w:val="single" w:sz="4" w:space="0" w:color="auto"/>
            </w:tcBorders>
          </w:tcPr>
          <w:p w14:paraId="13FCE8B0" w14:textId="77777777" w:rsidR="00F87D1E" w:rsidRPr="00F87D1E" w:rsidRDefault="00F87D1E" w:rsidP="00F87D1E">
            <w:pPr>
              <w:tabs>
                <w:tab w:val="left" w:pos="1134"/>
              </w:tabs>
              <w:spacing w:line="276" w:lineRule="auto"/>
              <w:jc w:val="both"/>
              <w:rPr>
                <w:rFonts w:ascii="Sylfaen" w:hAnsi="Sylfaen"/>
                <w:color w:val="000000" w:themeColor="text1"/>
                <w:sz w:val="22"/>
                <w:szCs w:val="22"/>
                <w:lang w:val="en-US"/>
              </w:rPr>
            </w:pPr>
            <w:r w:rsidRPr="00F87D1E">
              <w:rPr>
                <w:rFonts w:ascii="Sylfaen" w:hAnsi="Sylfaen"/>
                <w:color w:val="000000" w:themeColor="text1"/>
                <w:sz w:val="22"/>
                <w:szCs w:val="22"/>
                <w:lang w:val="en-US"/>
              </w:rPr>
              <w:t>This study explores the professional development practices and their impact on job satisfaction among government-aided elementary school teachers in the Valsad District, Gujarat. Through a structured survey, quantitative data were collected on variables such as work hours, training participation, administrative support, and perceived value of appraisals and development programs. Findings show that while professional development is widely offered and attended, its perceived impact on teaching quality, salary, and job satisfaction remains moderate. Most teachers agree that their efforts are acknowledged, and regular appraisals are conducted, but they express skepticism regarding the tangible outcomes of those evaluations. The study highlights the need for targeted, meaningful development programs and greater alignment between appraisal systems and professional growth incentives.</w:t>
            </w:r>
          </w:p>
          <w:p w14:paraId="68776FB7" w14:textId="61A8720F" w:rsidR="00F87D1E" w:rsidRPr="00F87D1E" w:rsidRDefault="00F87D1E" w:rsidP="00F87D1E">
            <w:pPr>
              <w:tabs>
                <w:tab w:val="left" w:pos="1134"/>
              </w:tabs>
              <w:spacing w:line="276" w:lineRule="auto"/>
              <w:jc w:val="both"/>
              <w:rPr>
                <w:rFonts w:ascii="Sylfaen" w:hAnsi="Sylfaen"/>
                <w:color w:val="000000" w:themeColor="text1"/>
                <w:sz w:val="22"/>
                <w:szCs w:val="22"/>
                <w:lang w:val="en-US"/>
              </w:rPr>
            </w:pPr>
            <w:proofErr w:type="gramStart"/>
            <w:r w:rsidRPr="00F87D1E">
              <w:rPr>
                <w:rFonts w:ascii="Sylfaen" w:hAnsi="Sylfaen"/>
                <w:b/>
                <w:bCs/>
                <w:color w:val="000000" w:themeColor="text1"/>
                <w:sz w:val="22"/>
                <w:szCs w:val="22"/>
                <w:lang w:val="en-US"/>
              </w:rPr>
              <w:t>Keywords</w:t>
            </w:r>
            <w:r w:rsidRPr="00F87D1E">
              <w:rPr>
                <w:rFonts w:ascii="Sylfaen" w:hAnsi="Sylfaen"/>
                <w:b/>
                <w:bCs/>
                <w:color w:val="000000" w:themeColor="text1"/>
                <w:sz w:val="22"/>
                <w:szCs w:val="22"/>
                <w:lang w:val="en-US"/>
              </w:rPr>
              <w:t xml:space="preserve"> </w:t>
            </w:r>
            <w:r w:rsidRPr="00F87D1E">
              <w:rPr>
                <w:rFonts w:ascii="Sylfaen" w:hAnsi="Sylfaen"/>
                <w:b/>
                <w:bCs/>
                <w:color w:val="000000" w:themeColor="text1"/>
                <w:sz w:val="22"/>
                <w:szCs w:val="22"/>
                <w:lang w:val="en-US"/>
              </w:rPr>
              <w:t>:</w:t>
            </w:r>
            <w:proofErr w:type="gramEnd"/>
            <w:r w:rsidRPr="00F87D1E">
              <w:rPr>
                <w:rFonts w:ascii="Sylfaen" w:hAnsi="Sylfaen"/>
                <w:color w:val="000000" w:themeColor="text1"/>
                <w:sz w:val="22"/>
                <w:szCs w:val="22"/>
                <w:lang w:val="en-US"/>
              </w:rPr>
              <w:t xml:space="preserve"> </w:t>
            </w:r>
            <w:r w:rsidRPr="00F87D1E">
              <w:rPr>
                <w:rFonts w:ascii="Sylfaen" w:hAnsi="Sylfaen"/>
                <w:color w:val="000000" w:themeColor="text1"/>
                <w:sz w:val="22"/>
                <w:szCs w:val="22"/>
                <w:lang w:val="en-US"/>
              </w:rPr>
              <w:t xml:space="preserve">Teacher Satisfaction, Professional Development, Appraisal, Government-Aided Schools, </w:t>
            </w:r>
            <w:r w:rsidRPr="00F87D1E">
              <w:rPr>
                <w:rFonts w:ascii="Sylfaen" w:hAnsi="Sylfaen"/>
                <w:color w:val="000000" w:themeColor="text1"/>
                <w:sz w:val="22"/>
                <w:szCs w:val="22"/>
                <w:lang w:val="en-US"/>
              </w:rPr>
              <w:t>Gujarat</w:t>
            </w:r>
          </w:p>
          <w:p w14:paraId="51D41DD5" w14:textId="40A84F74" w:rsidR="003C042A" w:rsidRPr="00F87D1E" w:rsidRDefault="003C042A" w:rsidP="00F87D1E">
            <w:pPr>
              <w:tabs>
                <w:tab w:val="left" w:pos="1134"/>
              </w:tabs>
              <w:spacing w:line="276" w:lineRule="auto"/>
              <w:jc w:val="both"/>
              <w:rPr>
                <w:rFonts w:ascii="Sylfaen" w:hAnsi="Sylfaen"/>
                <w:color w:val="000000" w:themeColor="text1"/>
                <w:sz w:val="22"/>
                <w:szCs w:val="22"/>
                <w:lang w:val="en-US"/>
              </w:rPr>
            </w:pPr>
          </w:p>
        </w:tc>
      </w:tr>
      <w:tr w:rsidR="003C042A" w:rsidRPr="00022D61" w14:paraId="745797A2" w14:textId="77777777" w:rsidTr="00CE473E">
        <w:trPr>
          <w:trHeight w:val="1305"/>
          <w:jc w:val="center"/>
        </w:trPr>
        <w:tc>
          <w:tcPr>
            <w:tcW w:w="1416" w:type="pct"/>
            <w:tcBorders>
              <w:top w:val="single" w:sz="4" w:space="0" w:color="auto"/>
              <w:bottom w:val="single" w:sz="4" w:space="0" w:color="auto"/>
            </w:tcBorders>
          </w:tcPr>
          <w:p w14:paraId="07779E99" w14:textId="77777777" w:rsidR="003C042A" w:rsidRPr="00026458" w:rsidRDefault="003C042A" w:rsidP="003C042A">
            <w:pPr>
              <w:autoSpaceDE w:val="0"/>
              <w:autoSpaceDN w:val="0"/>
              <w:adjustRightInd w:val="0"/>
              <w:spacing w:line="276" w:lineRule="auto"/>
              <w:jc w:val="both"/>
              <w:rPr>
                <w:rFonts w:ascii="Sylfaen" w:eastAsia="Calibri" w:hAnsi="Sylfaen"/>
                <w:b/>
                <w:bCs/>
                <w:sz w:val="22"/>
                <w:szCs w:val="22"/>
                <w:lang w:val="en-US" w:eastAsia="en-US"/>
              </w:rPr>
            </w:pPr>
          </w:p>
          <w:p w14:paraId="130C002B" w14:textId="77777777" w:rsidR="003C042A" w:rsidRPr="00026458" w:rsidRDefault="003C042A" w:rsidP="003C042A">
            <w:pPr>
              <w:autoSpaceDE w:val="0"/>
              <w:autoSpaceDN w:val="0"/>
              <w:adjustRightInd w:val="0"/>
              <w:spacing w:line="276" w:lineRule="auto"/>
              <w:jc w:val="both"/>
              <w:rPr>
                <w:rFonts w:ascii="Sylfaen" w:eastAsia="Calibri" w:hAnsi="Sylfaen"/>
                <w:b/>
                <w:bCs/>
                <w:sz w:val="22"/>
                <w:szCs w:val="22"/>
                <w:lang w:val="en-US" w:eastAsia="en-US"/>
              </w:rPr>
            </w:pPr>
            <w:r w:rsidRPr="00026458">
              <w:rPr>
                <w:rFonts w:ascii="Sylfaen" w:eastAsia="Calibri" w:hAnsi="Sylfaen"/>
                <w:b/>
                <w:bCs/>
                <w:sz w:val="22"/>
                <w:szCs w:val="22"/>
                <w:lang w:val="en-US" w:eastAsia="en-US"/>
              </w:rPr>
              <w:t>Publication Issue :</w:t>
            </w:r>
          </w:p>
          <w:p w14:paraId="4E6F2805" w14:textId="4B4D0633" w:rsidR="003C042A" w:rsidRPr="00026458" w:rsidRDefault="003C042A" w:rsidP="003C042A">
            <w:pPr>
              <w:autoSpaceDE w:val="0"/>
              <w:autoSpaceDN w:val="0"/>
              <w:adjustRightInd w:val="0"/>
              <w:spacing w:line="276" w:lineRule="auto"/>
              <w:jc w:val="both"/>
              <w:rPr>
                <w:rFonts w:ascii="Sylfaen" w:eastAsia="Calibri" w:hAnsi="Sylfaen"/>
                <w:sz w:val="22"/>
                <w:szCs w:val="22"/>
                <w:lang w:val="en-US" w:eastAsia="en-US"/>
              </w:rPr>
            </w:pPr>
            <w:r w:rsidRPr="00026458">
              <w:rPr>
                <w:rFonts w:ascii="Sylfaen" w:eastAsia="Calibri" w:hAnsi="Sylfaen"/>
                <w:sz w:val="22"/>
                <w:szCs w:val="22"/>
                <w:lang w:val="en-US" w:eastAsia="en-US"/>
              </w:rPr>
              <w:t>Volume 1</w:t>
            </w:r>
            <w:r>
              <w:rPr>
                <w:rFonts w:ascii="Sylfaen" w:eastAsia="Calibri" w:hAnsi="Sylfaen"/>
                <w:sz w:val="22"/>
                <w:szCs w:val="22"/>
                <w:lang w:val="en-US" w:eastAsia="en-US"/>
              </w:rPr>
              <w:t>2</w:t>
            </w:r>
            <w:r w:rsidRPr="00026458">
              <w:rPr>
                <w:rFonts w:ascii="Sylfaen" w:eastAsia="Calibri" w:hAnsi="Sylfaen"/>
                <w:sz w:val="22"/>
                <w:szCs w:val="22"/>
                <w:lang w:val="en-US" w:eastAsia="en-US"/>
              </w:rPr>
              <w:t xml:space="preserve">, Issue </w:t>
            </w:r>
            <w:r w:rsidR="00317BAF">
              <w:rPr>
                <w:rFonts w:ascii="Sylfaen" w:eastAsia="Calibri" w:hAnsi="Sylfaen"/>
                <w:sz w:val="22"/>
                <w:szCs w:val="22"/>
                <w:lang w:val="en-US" w:eastAsia="en-US"/>
              </w:rPr>
              <w:t>4</w:t>
            </w:r>
          </w:p>
          <w:p w14:paraId="195F1CB6" w14:textId="5D5DFBB2" w:rsidR="003C042A" w:rsidRPr="00B8313F" w:rsidRDefault="00337E67" w:rsidP="003C042A">
            <w:pPr>
              <w:autoSpaceDE w:val="0"/>
              <w:autoSpaceDN w:val="0"/>
              <w:adjustRightInd w:val="0"/>
              <w:spacing w:line="276" w:lineRule="auto"/>
              <w:jc w:val="both"/>
              <w:rPr>
                <w:rFonts w:ascii="Sylfaen" w:eastAsia="Calibri" w:hAnsi="Sylfaen"/>
                <w:sz w:val="22"/>
                <w:szCs w:val="22"/>
                <w:lang w:val="en-US" w:eastAsia="en-US"/>
              </w:rPr>
            </w:pPr>
            <w:r w:rsidRPr="00337E67">
              <w:rPr>
                <w:rFonts w:ascii="Sylfaen" w:eastAsia="Calibri" w:hAnsi="Sylfaen"/>
                <w:sz w:val="22"/>
                <w:szCs w:val="22"/>
              </w:rPr>
              <w:t>July-August</w:t>
            </w:r>
            <w:r w:rsidR="003C042A" w:rsidRPr="00B8313F">
              <w:rPr>
                <w:rFonts w:ascii="Sylfaen" w:eastAsia="Calibri" w:hAnsi="Sylfaen"/>
                <w:sz w:val="22"/>
                <w:szCs w:val="22"/>
                <w:lang w:val="en-US" w:eastAsia="en-US"/>
              </w:rPr>
              <w:t>-202</w:t>
            </w:r>
            <w:r w:rsidR="003C042A">
              <w:rPr>
                <w:rFonts w:ascii="Sylfaen" w:eastAsia="Calibri" w:hAnsi="Sylfaen"/>
                <w:sz w:val="22"/>
                <w:szCs w:val="22"/>
                <w:lang w:val="en-US" w:eastAsia="en-US"/>
              </w:rPr>
              <w:t>5</w:t>
            </w:r>
          </w:p>
          <w:p w14:paraId="70DD443C" w14:textId="77777777" w:rsidR="003C042A" w:rsidRDefault="003C042A" w:rsidP="003C042A">
            <w:pPr>
              <w:autoSpaceDE w:val="0"/>
              <w:autoSpaceDN w:val="0"/>
              <w:adjustRightInd w:val="0"/>
              <w:spacing w:line="276" w:lineRule="auto"/>
              <w:jc w:val="both"/>
              <w:rPr>
                <w:rFonts w:ascii="Sylfaen" w:eastAsia="Calibri" w:hAnsi="Sylfaen"/>
                <w:b/>
                <w:bCs/>
                <w:sz w:val="22"/>
                <w:szCs w:val="22"/>
                <w:lang w:val="en-US" w:eastAsia="en-US"/>
              </w:rPr>
            </w:pPr>
          </w:p>
          <w:p w14:paraId="738FB4FE" w14:textId="77777777" w:rsidR="003C042A" w:rsidRPr="00026458" w:rsidRDefault="003C042A" w:rsidP="003C042A">
            <w:pPr>
              <w:autoSpaceDE w:val="0"/>
              <w:autoSpaceDN w:val="0"/>
              <w:adjustRightInd w:val="0"/>
              <w:spacing w:line="276" w:lineRule="auto"/>
              <w:jc w:val="both"/>
              <w:rPr>
                <w:rFonts w:ascii="Sylfaen" w:eastAsia="Calibri" w:hAnsi="Sylfaen"/>
                <w:b/>
                <w:bCs/>
                <w:sz w:val="22"/>
                <w:szCs w:val="22"/>
                <w:lang w:val="en-US" w:eastAsia="en-US"/>
              </w:rPr>
            </w:pPr>
            <w:r w:rsidRPr="00026458">
              <w:rPr>
                <w:rFonts w:ascii="Sylfaen" w:eastAsia="Calibri" w:hAnsi="Sylfaen"/>
                <w:b/>
                <w:bCs/>
                <w:sz w:val="22"/>
                <w:szCs w:val="22"/>
                <w:lang w:val="en-US" w:eastAsia="en-US"/>
              </w:rPr>
              <w:t>Page Number :</w:t>
            </w:r>
          </w:p>
          <w:p w14:paraId="1E5EC856" w14:textId="7784EC2C" w:rsidR="003C042A" w:rsidRPr="00022D61" w:rsidRDefault="0067547E" w:rsidP="003C042A">
            <w:pPr>
              <w:rPr>
                <w:rFonts w:ascii="Sylfaen" w:hAnsi="Sylfaen"/>
                <w:sz w:val="22"/>
                <w:szCs w:val="22"/>
                <w:lang w:val="en-US"/>
              </w:rPr>
            </w:pPr>
            <w:r w:rsidRPr="0067547E">
              <w:rPr>
                <w:rFonts w:ascii="Sylfaen" w:eastAsia="Calibri" w:hAnsi="Sylfaen"/>
                <w:sz w:val="22"/>
                <w:szCs w:val="22"/>
                <w:lang w:val="en-US" w:eastAsia="en-US"/>
              </w:rPr>
              <w:t>466-474</w:t>
            </w:r>
          </w:p>
        </w:tc>
        <w:tc>
          <w:tcPr>
            <w:tcW w:w="116" w:type="pct"/>
            <w:vMerge/>
            <w:tcBorders>
              <w:bottom w:val="single" w:sz="4" w:space="0" w:color="auto"/>
            </w:tcBorders>
          </w:tcPr>
          <w:p w14:paraId="35385473" w14:textId="77777777" w:rsidR="003C042A" w:rsidRPr="00022D61" w:rsidRDefault="003C042A" w:rsidP="003C042A">
            <w:pPr>
              <w:rPr>
                <w:rFonts w:ascii="Sylfaen" w:hAnsi="Sylfaen"/>
                <w:sz w:val="22"/>
                <w:szCs w:val="22"/>
              </w:rPr>
            </w:pPr>
          </w:p>
        </w:tc>
        <w:tc>
          <w:tcPr>
            <w:tcW w:w="3468" w:type="pct"/>
            <w:vMerge/>
            <w:tcBorders>
              <w:bottom w:val="single" w:sz="4" w:space="0" w:color="auto"/>
            </w:tcBorders>
          </w:tcPr>
          <w:p w14:paraId="4D0C8503" w14:textId="77777777" w:rsidR="003C042A" w:rsidRPr="00022D61" w:rsidRDefault="003C042A" w:rsidP="003C042A">
            <w:pPr>
              <w:pStyle w:val="Els-Abstract-head"/>
              <w:spacing w:before="120" w:after="120"/>
              <w:rPr>
                <w:rFonts w:ascii="Sylfaen" w:hAnsi="Sylfaen"/>
                <w:b w:val="0"/>
                <w:bCs/>
                <w:sz w:val="22"/>
                <w:szCs w:val="22"/>
              </w:rPr>
            </w:pPr>
          </w:p>
        </w:tc>
      </w:tr>
    </w:tbl>
    <w:p w14:paraId="3A6D8BBA" w14:textId="77777777" w:rsidR="00022D61" w:rsidRPr="00706974" w:rsidRDefault="00022D61" w:rsidP="00FE3CD4">
      <w:pPr>
        <w:pStyle w:val="Default"/>
        <w:spacing w:line="276" w:lineRule="auto"/>
        <w:jc w:val="center"/>
        <w:rPr>
          <w:rFonts w:ascii="Sylfaen" w:hAnsi="Sylfaen"/>
          <w:bCs/>
          <w:iCs/>
          <w:sz w:val="22"/>
          <w:szCs w:val="22"/>
        </w:rPr>
      </w:pPr>
    </w:p>
    <w:p w14:paraId="7D660D25" w14:textId="19247FF2" w:rsidR="00C82C85" w:rsidRPr="00CB3F21" w:rsidRDefault="00C82C85" w:rsidP="00FD462A">
      <w:pPr>
        <w:spacing w:line="276" w:lineRule="auto"/>
        <w:rPr>
          <w:rFonts w:ascii="Sylfaen" w:hAnsi="Sylfaen"/>
          <w:sz w:val="22"/>
          <w:szCs w:val="22"/>
        </w:rPr>
        <w:sectPr w:rsidR="00C82C85" w:rsidRPr="00CB3F21" w:rsidSect="001A473A">
          <w:headerReference w:type="default" r:id="rId8"/>
          <w:footerReference w:type="default" r:id="rId9"/>
          <w:headerReference w:type="first" r:id="rId10"/>
          <w:footerReference w:type="first" r:id="rId11"/>
          <w:pgSz w:w="11906" w:h="16838" w:code="9"/>
          <w:pgMar w:top="1077" w:right="811" w:bottom="2438" w:left="811" w:header="576" w:footer="576" w:gutter="0"/>
          <w:pgNumType w:start="466"/>
          <w:cols w:space="708"/>
          <w:titlePg/>
          <w:docGrid w:linePitch="360"/>
        </w:sectPr>
      </w:pPr>
    </w:p>
    <w:p w14:paraId="474CB26C" w14:textId="77777777" w:rsidR="00F87D1E" w:rsidRPr="00F87D1E" w:rsidRDefault="00F87D1E" w:rsidP="00F87D1E">
      <w:pPr>
        <w:jc w:val="both"/>
        <w:rPr>
          <w:rFonts w:ascii="Sylfaen" w:hAnsi="Sylfaen"/>
          <w:b/>
          <w:bCs/>
          <w:sz w:val="22"/>
          <w:szCs w:val="22"/>
          <w:lang w:val="en-US"/>
        </w:rPr>
      </w:pPr>
      <w:r w:rsidRPr="00F87D1E">
        <w:rPr>
          <w:rFonts w:ascii="Sylfaen" w:hAnsi="Sylfaen"/>
          <w:b/>
          <w:bCs/>
          <w:sz w:val="22"/>
          <w:szCs w:val="22"/>
          <w:lang w:val="en-US"/>
        </w:rPr>
        <w:t>1. Introduction</w:t>
      </w:r>
    </w:p>
    <w:p w14:paraId="6465ADFA" w14:textId="77777777" w:rsidR="00F87D1E" w:rsidRPr="00F87D1E" w:rsidRDefault="00F87D1E" w:rsidP="00F87D1E">
      <w:pPr>
        <w:spacing w:before="240" w:after="120"/>
        <w:jc w:val="both"/>
        <w:rPr>
          <w:rFonts w:ascii="Sylfaen" w:hAnsi="Sylfaen"/>
          <w:sz w:val="22"/>
          <w:szCs w:val="22"/>
          <w:lang w:val="en-US"/>
        </w:rPr>
      </w:pPr>
      <w:r w:rsidRPr="00F87D1E">
        <w:rPr>
          <w:rFonts w:ascii="Sylfaen" w:hAnsi="Sylfaen"/>
          <w:sz w:val="22"/>
          <w:szCs w:val="22"/>
          <w:lang w:val="en-US"/>
        </w:rPr>
        <w:t xml:space="preserve">Teacher job satisfaction is universally acknowledged as a cornerstone of quality education. It influences not only how educators perform in the classroom but also how they engage with the broader goals of education reform, student achievement, and institutional development (Evans, 1998; Dinham &amp; Scott, 1998). In the Indian education system, especially in government-aided schools, the challenge of ensuring consistent teacher satisfaction is intensified by infrastructural constraints, uneven policy </w:t>
      </w:r>
      <w:r w:rsidRPr="00F87D1E">
        <w:rPr>
          <w:rFonts w:ascii="Sylfaen" w:hAnsi="Sylfaen"/>
          <w:sz w:val="22"/>
          <w:szCs w:val="22"/>
          <w:lang w:val="en-US"/>
        </w:rPr>
        <w:t xml:space="preserve">implementation, and limited access to quality professional development programs (OECD, 2005). With the changing educational landscape that emphasizes accountability, continuous learning, and inclusive practices, it is essential to understand how teachers perceive their roles and responsibilities, and whether they feel adequately supported in fulfilling them. This research focuses on government-aided school teachers in Valsad District, Gujarat, where schools operate under hybrid administrative models, combining government funding with private management. The study aims to explore the </w:t>
      </w:r>
      <w:r w:rsidRPr="00F87D1E">
        <w:rPr>
          <w:rFonts w:ascii="Sylfaen" w:hAnsi="Sylfaen"/>
          <w:sz w:val="22"/>
          <w:szCs w:val="22"/>
          <w:lang w:val="en-US"/>
        </w:rPr>
        <w:lastRenderedPageBreak/>
        <w:t>dimensions of professional development, appraisal systems, and time management, and how these factors relate to teacher satisfaction. It seeks to uncover whether current professional development efforts are effective, whether teachers find appraisals meaningful, and how these processes impact motivation, recognition, and retention. In recent years, the Government of India has advocated for improving teacher quality through initiatives such as the National Education Policy (NEP) 2020, which emphasizes teacher training and performance assessment. However, local-level studies are required to assess how well such policies are implemented and whether they translate into tangible improvements in school environments. A district-level case study such as this provides a detailed view into real classroom realities and can inform broader educational reforms by grounding them in lived teacher experiences.</w:t>
      </w:r>
    </w:p>
    <w:p w14:paraId="2BD03A5F" w14:textId="77777777" w:rsidR="00F87D1E" w:rsidRPr="00F87D1E" w:rsidRDefault="00F87D1E" w:rsidP="00F87D1E">
      <w:pPr>
        <w:spacing w:before="240" w:after="120"/>
        <w:jc w:val="both"/>
        <w:rPr>
          <w:rFonts w:ascii="Sylfaen" w:hAnsi="Sylfaen"/>
          <w:b/>
          <w:bCs/>
          <w:sz w:val="22"/>
          <w:szCs w:val="22"/>
          <w:lang w:val="en-US"/>
        </w:rPr>
      </w:pPr>
      <w:r w:rsidRPr="00F87D1E">
        <w:rPr>
          <w:rFonts w:ascii="Sylfaen" w:hAnsi="Sylfaen"/>
          <w:b/>
          <w:bCs/>
          <w:sz w:val="22"/>
          <w:szCs w:val="22"/>
          <w:lang w:val="en-US"/>
        </w:rPr>
        <w:t>1.1 Research Objectives</w:t>
      </w:r>
    </w:p>
    <w:p w14:paraId="6E5C0D39" w14:textId="77777777" w:rsidR="00F87D1E" w:rsidRPr="00F87D1E" w:rsidRDefault="00F87D1E" w:rsidP="00F87D1E">
      <w:pPr>
        <w:numPr>
          <w:ilvl w:val="0"/>
          <w:numId w:val="26"/>
        </w:numPr>
        <w:tabs>
          <w:tab w:val="clear" w:pos="720"/>
        </w:tabs>
        <w:ind w:left="426"/>
        <w:jc w:val="both"/>
        <w:rPr>
          <w:rFonts w:ascii="Sylfaen" w:hAnsi="Sylfaen"/>
          <w:sz w:val="22"/>
          <w:szCs w:val="22"/>
          <w:lang w:val="en-US"/>
        </w:rPr>
      </w:pPr>
      <w:r w:rsidRPr="00F87D1E">
        <w:rPr>
          <w:rFonts w:ascii="Sylfaen" w:hAnsi="Sylfaen"/>
          <w:sz w:val="22"/>
          <w:szCs w:val="22"/>
          <w:lang w:val="en-US"/>
        </w:rPr>
        <w:t>To assess how government-aided school teachers manage their time across duties.</w:t>
      </w:r>
    </w:p>
    <w:p w14:paraId="5C74452F" w14:textId="77777777" w:rsidR="00F87D1E" w:rsidRPr="00F87D1E" w:rsidRDefault="00F87D1E" w:rsidP="00F87D1E">
      <w:pPr>
        <w:numPr>
          <w:ilvl w:val="0"/>
          <w:numId w:val="26"/>
        </w:numPr>
        <w:tabs>
          <w:tab w:val="clear" w:pos="720"/>
        </w:tabs>
        <w:ind w:left="426"/>
        <w:jc w:val="both"/>
        <w:rPr>
          <w:rFonts w:ascii="Sylfaen" w:hAnsi="Sylfaen"/>
          <w:sz w:val="22"/>
          <w:szCs w:val="22"/>
          <w:lang w:val="en-US"/>
        </w:rPr>
      </w:pPr>
      <w:r w:rsidRPr="00F87D1E">
        <w:rPr>
          <w:rFonts w:ascii="Sylfaen" w:hAnsi="Sylfaen"/>
          <w:sz w:val="22"/>
          <w:szCs w:val="22"/>
          <w:lang w:val="en-US"/>
        </w:rPr>
        <w:t>To explore the frequency, accessibility, and impact of professional development.</w:t>
      </w:r>
    </w:p>
    <w:p w14:paraId="738EF11D" w14:textId="77777777" w:rsidR="00F87D1E" w:rsidRPr="00F87D1E" w:rsidRDefault="00F87D1E" w:rsidP="00F87D1E">
      <w:pPr>
        <w:numPr>
          <w:ilvl w:val="0"/>
          <w:numId w:val="26"/>
        </w:numPr>
        <w:tabs>
          <w:tab w:val="clear" w:pos="720"/>
        </w:tabs>
        <w:ind w:left="426"/>
        <w:jc w:val="both"/>
        <w:rPr>
          <w:rFonts w:ascii="Sylfaen" w:hAnsi="Sylfaen"/>
          <w:sz w:val="22"/>
          <w:szCs w:val="22"/>
          <w:lang w:val="en-US"/>
        </w:rPr>
      </w:pPr>
      <w:r w:rsidRPr="00F87D1E">
        <w:rPr>
          <w:rFonts w:ascii="Sylfaen" w:hAnsi="Sylfaen"/>
          <w:sz w:val="22"/>
          <w:szCs w:val="22"/>
          <w:lang w:val="en-US"/>
        </w:rPr>
        <w:t>To understand teachers’ views on appraisal systems and their effects on rewards, job security, and satisfaction.</w:t>
      </w:r>
    </w:p>
    <w:p w14:paraId="2933410E" w14:textId="15FE0E9A" w:rsidR="00071D61" w:rsidRDefault="00F87D1E" w:rsidP="00F87D1E">
      <w:pPr>
        <w:tabs>
          <w:tab w:val="left" w:pos="1134"/>
        </w:tabs>
        <w:jc w:val="both"/>
        <w:rPr>
          <w:rFonts w:ascii="Sylfaen" w:hAnsi="Sylfaen"/>
          <w:sz w:val="22"/>
          <w:szCs w:val="22"/>
          <w:lang w:val="en-US"/>
        </w:rPr>
      </w:pPr>
      <w:r w:rsidRPr="00F87D1E">
        <w:rPr>
          <w:rFonts w:ascii="Sylfaen" w:hAnsi="Sylfaen"/>
          <w:sz w:val="22"/>
          <w:szCs w:val="22"/>
          <w:lang w:val="en-US"/>
        </w:rPr>
        <w:t>To identify gaps in development initiatives and suggest improvements.</w:t>
      </w:r>
    </w:p>
    <w:p w14:paraId="38DE888F" w14:textId="77777777" w:rsidR="00F87D1E" w:rsidRPr="00F87D1E" w:rsidRDefault="00F87D1E" w:rsidP="00F87D1E">
      <w:pPr>
        <w:tabs>
          <w:tab w:val="left" w:pos="1134"/>
        </w:tabs>
        <w:jc w:val="both"/>
        <w:rPr>
          <w:rFonts w:ascii="Sylfaen" w:hAnsi="Sylfaen"/>
          <w:sz w:val="22"/>
          <w:szCs w:val="22"/>
          <w:lang w:val="en-US"/>
        </w:rPr>
      </w:pPr>
    </w:p>
    <w:p w14:paraId="76741E89" w14:textId="77777777" w:rsidR="00F87D1E" w:rsidRPr="00F87D1E" w:rsidRDefault="00F87D1E" w:rsidP="00F87D1E">
      <w:pPr>
        <w:jc w:val="both"/>
        <w:rPr>
          <w:rFonts w:ascii="Sylfaen" w:hAnsi="Sylfaen"/>
          <w:b/>
          <w:bCs/>
          <w:sz w:val="22"/>
          <w:szCs w:val="22"/>
          <w:lang w:val="en-US"/>
        </w:rPr>
      </w:pPr>
      <w:r w:rsidRPr="00F87D1E">
        <w:rPr>
          <w:rFonts w:ascii="Sylfaen" w:hAnsi="Sylfaen"/>
          <w:b/>
          <w:bCs/>
          <w:sz w:val="22"/>
          <w:szCs w:val="22"/>
          <w:lang w:val="en-US"/>
        </w:rPr>
        <w:t>2. Literature Review</w:t>
      </w:r>
    </w:p>
    <w:p w14:paraId="5FC46A00" w14:textId="77777777" w:rsidR="00F87D1E" w:rsidRPr="00F87D1E" w:rsidRDefault="00F87D1E" w:rsidP="00F87D1E">
      <w:pPr>
        <w:jc w:val="both"/>
        <w:rPr>
          <w:rFonts w:ascii="Sylfaen" w:hAnsi="Sylfaen"/>
          <w:b/>
          <w:bCs/>
          <w:sz w:val="22"/>
          <w:szCs w:val="22"/>
          <w:lang w:val="en-US"/>
        </w:rPr>
      </w:pPr>
      <w:r w:rsidRPr="00F87D1E">
        <w:rPr>
          <w:rFonts w:ascii="Sylfaen" w:hAnsi="Sylfaen"/>
          <w:b/>
          <w:bCs/>
          <w:sz w:val="22"/>
          <w:szCs w:val="22"/>
          <w:lang w:val="en-US"/>
        </w:rPr>
        <w:t>2.1 Job Satisfaction: A Multidimensional Concept</w:t>
      </w:r>
    </w:p>
    <w:p w14:paraId="0D236223" w14:textId="77777777" w:rsidR="00F87D1E" w:rsidRPr="00F87D1E" w:rsidRDefault="00F87D1E" w:rsidP="00F87D1E">
      <w:pPr>
        <w:spacing w:before="240" w:after="120"/>
        <w:jc w:val="both"/>
        <w:rPr>
          <w:rFonts w:ascii="Sylfaen" w:hAnsi="Sylfaen"/>
          <w:sz w:val="22"/>
          <w:szCs w:val="22"/>
          <w:lang w:val="en-US"/>
        </w:rPr>
      </w:pPr>
      <w:r w:rsidRPr="00F87D1E">
        <w:rPr>
          <w:rFonts w:ascii="Sylfaen" w:hAnsi="Sylfaen"/>
          <w:sz w:val="22"/>
          <w:szCs w:val="22"/>
          <w:lang w:val="en-US"/>
        </w:rPr>
        <w:t xml:space="preserve">Job satisfaction among teachers has long been studied as a function of both intrinsic and extrinsic motivators. Herzberg’s (1966) two-factor theory outlines this clearly by distinguishing between hygiene factors (e.g., salary, working conditions) and motivators (e.g., recognition, personal growth). Spector (1997) also emphasized that workplace satisfaction arises from an interplay of organizational, personal, and societal influences. Evans (1998) asserts that satisfaction is often subjective and context-specific, but critical for sustaining enthusiasm and professional dedication. For teachers, this translates into feelings of being respected, having a sense of achievement, and working in environments conducive to their professional needs. Dinham and Scott (1998) proposed </w:t>
      </w:r>
      <w:r w:rsidRPr="00F87D1E">
        <w:rPr>
          <w:rFonts w:ascii="Sylfaen" w:hAnsi="Sylfaen"/>
          <w:sz w:val="22"/>
          <w:szCs w:val="22"/>
          <w:lang w:val="en-US"/>
        </w:rPr>
        <w:t>a three-domain model which includes intrinsic rewards (like student success), school-level factors (like leadership), and broader systemic elements (like policy and pay structures). These frameworks collectively help interpret how different institutional arrangements affect teacher morale.</w:t>
      </w:r>
    </w:p>
    <w:p w14:paraId="21788DEB" w14:textId="77777777" w:rsidR="00F87D1E" w:rsidRPr="00F87D1E" w:rsidRDefault="00F87D1E" w:rsidP="00F87D1E">
      <w:pPr>
        <w:spacing w:before="240" w:after="120"/>
        <w:jc w:val="both"/>
        <w:rPr>
          <w:rFonts w:ascii="Sylfaen" w:hAnsi="Sylfaen"/>
          <w:b/>
          <w:bCs/>
          <w:sz w:val="22"/>
          <w:szCs w:val="22"/>
          <w:lang w:val="en-US"/>
        </w:rPr>
      </w:pPr>
      <w:r w:rsidRPr="00F87D1E">
        <w:rPr>
          <w:rFonts w:ascii="Sylfaen" w:hAnsi="Sylfaen"/>
          <w:b/>
          <w:bCs/>
          <w:sz w:val="22"/>
          <w:szCs w:val="22"/>
          <w:lang w:val="en-US"/>
        </w:rPr>
        <w:t>2.2 Professional Development and Teacher Motivation</w:t>
      </w:r>
    </w:p>
    <w:p w14:paraId="58531F50" w14:textId="28E92280" w:rsidR="00F87D1E" w:rsidRPr="00F87D1E" w:rsidRDefault="00F87D1E" w:rsidP="00F87D1E">
      <w:pPr>
        <w:tabs>
          <w:tab w:val="left" w:pos="1134"/>
        </w:tabs>
        <w:jc w:val="both"/>
        <w:rPr>
          <w:rFonts w:ascii="Sylfaen" w:hAnsi="Sylfaen"/>
          <w:sz w:val="22"/>
          <w:szCs w:val="22"/>
          <w:lang w:val="en-US"/>
        </w:rPr>
      </w:pPr>
      <w:r w:rsidRPr="00F87D1E">
        <w:rPr>
          <w:rFonts w:ascii="Sylfaen" w:hAnsi="Sylfaen"/>
          <w:sz w:val="22"/>
          <w:szCs w:val="22"/>
          <w:lang w:val="en-US"/>
        </w:rPr>
        <w:t xml:space="preserve">Professional development is central to teacher effectiveness and satisfaction. When training opportunities are aligned with teachers’ needs and interests, they can enhance not only skills but also self-worth and commitment (Caprara et al., 2003). Day and Gu (2009) found that veteran teachers who regularly engage in meaningful professional development are more resilient and adaptable. However, research by Perie and Baker (1997) and </w:t>
      </w:r>
      <w:proofErr w:type="spellStart"/>
      <w:r w:rsidRPr="00F87D1E">
        <w:rPr>
          <w:rFonts w:ascii="Sylfaen" w:hAnsi="Sylfaen"/>
          <w:sz w:val="22"/>
          <w:szCs w:val="22"/>
          <w:lang w:val="en-US"/>
        </w:rPr>
        <w:t>Pithers</w:t>
      </w:r>
      <w:proofErr w:type="spellEnd"/>
      <w:r w:rsidRPr="00F87D1E">
        <w:rPr>
          <w:rFonts w:ascii="Sylfaen" w:hAnsi="Sylfaen"/>
          <w:sz w:val="22"/>
          <w:szCs w:val="22"/>
          <w:lang w:val="en-US"/>
        </w:rPr>
        <w:t xml:space="preserve"> and Soden (1998) warns that poorly designed or administratively motivated training can have the opposite effect—leading to stress, disinterest, or burnout. In the Indian context, professional development is often perceived as compliance-based rather than needs-driven, leading to low engagement and limited long-term impact (Liu &amp; Onwuegbuzie, 2012). This discrepancy is reflected in studies showing that while training sessions are often attended (OECD, 2005), their effectiveness remains limited unless they are participatory, contextual, and action-oriented (Schaufeli &amp; Bakker, 2004). In Valsad’s government-aided schools, where infrastructure and policy support may vary, professional development must be customized. This study reveals that even though 100% of surveyed teachers participated in some form of professional training, nearly half reported no significant enrichment (Table 3). This finding is consistent with research by Alam and Farid (2011), who stress the importance of training relevance in driving teacher motivation.</w:t>
      </w:r>
    </w:p>
    <w:p w14:paraId="7647B15E" w14:textId="77777777" w:rsidR="00F87D1E" w:rsidRPr="00F87D1E" w:rsidRDefault="00F87D1E" w:rsidP="00F87D1E">
      <w:pPr>
        <w:spacing w:before="240" w:after="120"/>
        <w:jc w:val="both"/>
        <w:rPr>
          <w:rFonts w:ascii="Sylfaen" w:hAnsi="Sylfaen"/>
          <w:b/>
          <w:bCs/>
          <w:sz w:val="22"/>
          <w:szCs w:val="22"/>
          <w:lang w:val="en-US"/>
        </w:rPr>
      </w:pPr>
      <w:r w:rsidRPr="00F87D1E">
        <w:rPr>
          <w:rFonts w:ascii="Sylfaen" w:hAnsi="Sylfaen"/>
          <w:b/>
          <w:bCs/>
          <w:sz w:val="22"/>
          <w:szCs w:val="22"/>
          <w:lang w:val="en-US"/>
        </w:rPr>
        <w:t>2.3 Appraisal Systems and Feedback Mechanisms</w:t>
      </w:r>
    </w:p>
    <w:p w14:paraId="376C61DA" w14:textId="77777777" w:rsidR="00F87D1E" w:rsidRPr="00F87D1E" w:rsidRDefault="00F87D1E" w:rsidP="00F87D1E">
      <w:pPr>
        <w:spacing w:before="240" w:after="120"/>
        <w:jc w:val="both"/>
        <w:rPr>
          <w:rFonts w:ascii="Sylfaen" w:hAnsi="Sylfaen"/>
          <w:sz w:val="22"/>
          <w:szCs w:val="22"/>
          <w:lang w:val="en-US"/>
        </w:rPr>
      </w:pPr>
      <w:r w:rsidRPr="00F87D1E">
        <w:rPr>
          <w:rFonts w:ascii="Sylfaen" w:hAnsi="Sylfaen"/>
          <w:sz w:val="22"/>
          <w:szCs w:val="22"/>
          <w:lang w:val="en-US"/>
        </w:rPr>
        <w:t xml:space="preserve">Teacher evaluation systems are essential for accountability and growth, yet their execution often determines whether they inspire or demoralize (Ingersoll, 2001). A system perceived as fair and supportive can build trust and increase job satisfaction (Johnson &amp; Birkeland, 2003). However, Hagedorn (2000) observed that when reviews are used solely for </w:t>
      </w:r>
      <w:r w:rsidRPr="00F87D1E">
        <w:rPr>
          <w:rFonts w:ascii="Sylfaen" w:hAnsi="Sylfaen"/>
          <w:sz w:val="22"/>
          <w:szCs w:val="22"/>
          <w:lang w:val="en-US"/>
        </w:rPr>
        <w:lastRenderedPageBreak/>
        <w:t xml:space="preserve">administrative compliance, their potential to contribute to development is lost. In this study, all respondents stated they receive at least annual feedback from their principals (Table 5), and 100% agreed that it was fair and useful. Despite this, only 20.83% reported any change in job satisfaction or career advancement as a result. This reflects similar trends noted by </w:t>
      </w:r>
      <w:proofErr w:type="spellStart"/>
      <w:r w:rsidRPr="00F87D1E">
        <w:rPr>
          <w:rFonts w:ascii="Sylfaen" w:hAnsi="Sylfaen"/>
          <w:sz w:val="22"/>
          <w:szCs w:val="22"/>
          <w:lang w:val="en-US"/>
        </w:rPr>
        <w:t>Leithwood</w:t>
      </w:r>
      <w:proofErr w:type="spellEnd"/>
      <w:r w:rsidRPr="00F87D1E">
        <w:rPr>
          <w:rFonts w:ascii="Sylfaen" w:hAnsi="Sylfaen"/>
          <w:sz w:val="22"/>
          <w:szCs w:val="22"/>
          <w:lang w:val="en-US"/>
        </w:rPr>
        <w:t xml:space="preserve"> and Jantzi (2006), who argue that transformational leadership is key in ensuring appraisals lead to actionable growth. </w:t>
      </w:r>
      <w:proofErr w:type="spellStart"/>
      <w:r w:rsidRPr="00F87D1E">
        <w:rPr>
          <w:rFonts w:ascii="Sylfaen" w:hAnsi="Sylfaen"/>
          <w:sz w:val="22"/>
          <w:szCs w:val="22"/>
          <w:lang w:val="en-US"/>
        </w:rPr>
        <w:t>Zembylas</w:t>
      </w:r>
      <w:proofErr w:type="spellEnd"/>
      <w:r w:rsidRPr="00F87D1E">
        <w:rPr>
          <w:rFonts w:ascii="Sylfaen" w:hAnsi="Sylfaen"/>
          <w:sz w:val="22"/>
          <w:szCs w:val="22"/>
          <w:lang w:val="en-US"/>
        </w:rPr>
        <w:t xml:space="preserve"> and Papanastasiou (2004) also caution that teacher recognition must be both symbolic and material—meaningful feedback coupled with promotions, bonuses, or public acknowledgment. The perceived disconnect between feedback and reward in this research echoes OECD (2005) findings that many teachers feel evaluations are not tied to any real incentives. For an appraisal system to drive performance, it must not only identify areas for improvement but also offer rewards and development pathways aligned with those areas (Tickle, Chang, &amp; Kim, 2011).</w:t>
      </w:r>
    </w:p>
    <w:p w14:paraId="53F2C807" w14:textId="77777777" w:rsidR="00F87D1E" w:rsidRPr="00F87D1E" w:rsidRDefault="00F87D1E" w:rsidP="00F87D1E">
      <w:pPr>
        <w:jc w:val="both"/>
        <w:rPr>
          <w:rFonts w:ascii="Sylfaen" w:hAnsi="Sylfaen"/>
          <w:b/>
          <w:bCs/>
          <w:sz w:val="22"/>
          <w:szCs w:val="22"/>
          <w:lang w:val="en-US"/>
        </w:rPr>
      </w:pPr>
      <w:r w:rsidRPr="00F87D1E">
        <w:rPr>
          <w:rFonts w:ascii="Sylfaen" w:hAnsi="Sylfaen"/>
          <w:b/>
          <w:bCs/>
          <w:sz w:val="22"/>
          <w:szCs w:val="22"/>
          <w:lang w:val="en-US"/>
        </w:rPr>
        <w:t>3. Methodology</w:t>
      </w:r>
    </w:p>
    <w:p w14:paraId="23F09A99" w14:textId="77777777" w:rsidR="00F87D1E" w:rsidRPr="00F87D1E" w:rsidRDefault="00F87D1E" w:rsidP="00F87D1E">
      <w:pPr>
        <w:jc w:val="both"/>
        <w:rPr>
          <w:rFonts w:ascii="Sylfaen" w:hAnsi="Sylfaen"/>
          <w:b/>
          <w:bCs/>
          <w:sz w:val="22"/>
          <w:szCs w:val="22"/>
          <w:lang w:val="en-US"/>
        </w:rPr>
      </w:pPr>
      <w:r w:rsidRPr="00F87D1E">
        <w:rPr>
          <w:rFonts w:ascii="Sylfaen" w:hAnsi="Sylfaen"/>
          <w:b/>
          <w:bCs/>
          <w:sz w:val="22"/>
          <w:szCs w:val="22"/>
          <w:lang w:val="en-US"/>
        </w:rPr>
        <w:t>3.1 Research Design</w:t>
      </w:r>
    </w:p>
    <w:p w14:paraId="6067A231" w14:textId="77777777" w:rsidR="00F87D1E" w:rsidRPr="00F87D1E" w:rsidRDefault="00F87D1E" w:rsidP="00F87D1E">
      <w:pPr>
        <w:spacing w:before="240" w:after="120"/>
        <w:jc w:val="both"/>
        <w:rPr>
          <w:rFonts w:ascii="Sylfaen" w:hAnsi="Sylfaen"/>
          <w:sz w:val="22"/>
          <w:szCs w:val="22"/>
          <w:lang w:val="en-US"/>
        </w:rPr>
      </w:pPr>
      <w:r w:rsidRPr="00F87D1E">
        <w:rPr>
          <w:rFonts w:ascii="Sylfaen" w:hAnsi="Sylfaen"/>
          <w:sz w:val="22"/>
          <w:szCs w:val="22"/>
          <w:lang w:val="en-US"/>
        </w:rPr>
        <w:t xml:space="preserve">This study employed a </w:t>
      </w:r>
      <w:r w:rsidRPr="00F87D1E">
        <w:rPr>
          <w:rFonts w:ascii="Sylfaen" w:hAnsi="Sylfaen"/>
          <w:b/>
          <w:bCs/>
          <w:sz w:val="22"/>
          <w:szCs w:val="22"/>
          <w:lang w:val="en-US"/>
        </w:rPr>
        <w:t>descriptive quantitative research design</w:t>
      </w:r>
      <w:r w:rsidRPr="00F87D1E">
        <w:rPr>
          <w:rFonts w:ascii="Sylfaen" w:hAnsi="Sylfaen"/>
          <w:sz w:val="22"/>
          <w:szCs w:val="22"/>
          <w:lang w:val="en-US"/>
        </w:rPr>
        <w:t xml:space="preserve"> to investigate the nature and extent of job satisfaction and professional development experiences among teachers working in government-aided elementary schools in the Valsad District of Gujarat, India. The descriptive design was chosen for its suitability in capturing numerical trends, participant perspectives, and observable patterns within a defined population. This approach allowed the researchers to systematically examine variables such as time allocation, training participation, and teacher perceptions on appraisal and professional growth, all of which are critical indicators of workplace satisfaction and institutional effectiveness.</w:t>
      </w:r>
    </w:p>
    <w:p w14:paraId="02C61E00" w14:textId="77777777" w:rsidR="00F87D1E" w:rsidRPr="00F87D1E" w:rsidRDefault="00F87D1E" w:rsidP="00F87D1E">
      <w:pPr>
        <w:spacing w:before="240" w:after="120"/>
        <w:jc w:val="both"/>
        <w:rPr>
          <w:rFonts w:ascii="Sylfaen" w:hAnsi="Sylfaen"/>
          <w:sz w:val="22"/>
          <w:szCs w:val="22"/>
          <w:lang w:val="en-US"/>
        </w:rPr>
      </w:pPr>
      <w:r w:rsidRPr="00F87D1E">
        <w:rPr>
          <w:rFonts w:ascii="Sylfaen" w:hAnsi="Sylfaen"/>
          <w:sz w:val="22"/>
          <w:szCs w:val="22"/>
          <w:lang w:val="en-US"/>
        </w:rPr>
        <w:t>Quantitative methods are particularly well-suited for studies aiming to generalize findings across a specific educational population, and in this case, the use of a structured survey facilitated uniform data collection and comparative analysis (Creswell, 2014). The research sought not to intervene or manipulate any variables, but rather to describe the existing practices and perspectives within the sampled group.</w:t>
      </w:r>
    </w:p>
    <w:p w14:paraId="0579A492" w14:textId="77777777" w:rsidR="00F87D1E" w:rsidRPr="00F87D1E" w:rsidRDefault="00F87D1E" w:rsidP="00F87D1E">
      <w:pPr>
        <w:spacing w:before="240" w:after="120"/>
        <w:jc w:val="both"/>
        <w:rPr>
          <w:rFonts w:ascii="Sylfaen" w:hAnsi="Sylfaen"/>
          <w:b/>
          <w:bCs/>
          <w:sz w:val="22"/>
          <w:szCs w:val="22"/>
          <w:lang w:val="en-US"/>
        </w:rPr>
      </w:pPr>
      <w:r w:rsidRPr="00F87D1E">
        <w:rPr>
          <w:rFonts w:ascii="Sylfaen" w:hAnsi="Sylfaen"/>
          <w:b/>
          <w:bCs/>
          <w:sz w:val="22"/>
          <w:szCs w:val="22"/>
          <w:lang w:val="en-US"/>
        </w:rPr>
        <w:t>3.2 Population and Sample</w:t>
      </w:r>
    </w:p>
    <w:p w14:paraId="26AB1BDB" w14:textId="77777777" w:rsidR="00F87D1E" w:rsidRPr="00F87D1E" w:rsidRDefault="00F87D1E" w:rsidP="00F87D1E">
      <w:pPr>
        <w:spacing w:before="240" w:after="120"/>
        <w:jc w:val="both"/>
        <w:rPr>
          <w:rFonts w:ascii="Sylfaen" w:hAnsi="Sylfaen"/>
          <w:sz w:val="22"/>
          <w:szCs w:val="22"/>
          <w:lang w:val="en-US"/>
        </w:rPr>
      </w:pPr>
      <w:r w:rsidRPr="00F87D1E">
        <w:rPr>
          <w:rFonts w:ascii="Sylfaen" w:hAnsi="Sylfaen"/>
          <w:sz w:val="22"/>
          <w:szCs w:val="22"/>
          <w:lang w:val="en-US"/>
        </w:rPr>
        <w:t>The population for the study consisted of government-aided elementary school teachers operating under various administrative and funding models across Valsad District. These schools receive financial support from the government but often maintain independent management structures, making them a unique hybrid within India’s education system.</w:t>
      </w:r>
    </w:p>
    <w:p w14:paraId="3B4EBF41" w14:textId="0D586E7A" w:rsidR="00F87D1E" w:rsidRPr="00F87D1E" w:rsidRDefault="00F87D1E" w:rsidP="00F87D1E">
      <w:pPr>
        <w:tabs>
          <w:tab w:val="left" w:pos="1134"/>
        </w:tabs>
        <w:jc w:val="both"/>
        <w:rPr>
          <w:rFonts w:ascii="Sylfaen" w:hAnsi="Sylfaen"/>
          <w:sz w:val="22"/>
          <w:szCs w:val="22"/>
          <w:lang w:val="en-US"/>
        </w:rPr>
      </w:pPr>
      <w:r w:rsidRPr="00F87D1E">
        <w:rPr>
          <w:rFonts w:ascii="Sylfaen" w:hAnsi="Sylfaen"/>
          <w:sz w:val="22"/>
          <w:szCs w:val="22"/>
          <w:lang w:val="en-US"/>
        </w:rPr>
        <w:t xml:space="preserve">Teachers from this category were selected based on their relevance to the study’s objectives. A </w:t>
      </w:r>
      <w:r w:rsidRPr="00F87D1E">
        <w:rPr>
          <w:rFonts w:ascii="Sylfaen" w:hAnsi="Sylfaen"/>
          <w:b/>
          <w:bCs/>
          <w:sz w:val="22"/>
          <w:szCs w:val="22"/>
          <w:lang w:val="en-US"/>
        </w:rPr>
        <w:t>purposive sampling method</w:t>
      </w:r>
      <w:r w:rsidRPr="00F87D1E">
        <w:rPr>
          <w:rFonts w:ascii="Sylfaen" w:hAnsi="Sylfaen"/>
          <w:sz w:val="22"/>
          <w:szCs w:val="22"/>
          <w:lang w:val="en-US"/>
        </w:rPr>
        <w:t xml:space="preserve"> was employed, focusing specifically on </w:t>
      </w:r>
      <w:r w:rsidRPr="00F87D1E">
        <w:rPr>
          <w:rFonts w:ascii="Sylfaen" w:hAnsi="Sylfaen"/>
          <w:b/>
          <w:bCs/>
          <w:sz w:val="22"/>
          <w:szCs w:val="22"/>
          <w:lang w:val="en-US"/>
        </w:rPr>
        <w:t>experienced teachers</w:t>
      </w:r>
      <w:r w:rsidRPr="00F87D1E">
        <w:rPr>
          <w:rFonts w:ascii="Sylfaen" w:hAnsi="Sylfaen"/>
          <w:sz w:val="22"/>
          <w:szCs w:val="22"/>
          <w:lang w:val="en-US"/>
        </w:rPr>
        <w:t xml:space="preserve"> with several years of service. This non-probability sampling technique was appropriate for selecting participants who could provide informed and reflective responses about long-term exposure to institutional practices, professional development programs, and appraisal systems (</w:t>
      </w:r>
      <w:proofErr w:type="spellStart"/>
      <w:r w:rsidRPr="00F87D1E">
        <w:rPr>
          <w:rFonts w:ascii="Sylfaen" w:hAnsi="Sylfaen"/>
          <w:sz w:val="22"/>
          <w:szCs w:val="22"/>
          <w:lang w:val="en-US"/>
        </w:rPr>
        <w:t>Etikan</w:t>
      </w:r>
      <w:proofErr w:type="spellEnd"/>
      <w:r w:rsidRPr="00F87D1E">
        <w:rPr>
          <w:rFonts w:ascii="Sylfaen" w:hAnsi="Sylfaen"/>
          <w:sz w:val="22"/>
          <w:szCs w:val="22"/>
          <w:lang w:val="en-US"/>
        </w:rPr>
        <w:t xml:space="preserve">, Musa, &amp; </w:t>
      </w:r>
      <w:proofErr w:type="spellStart"/>
      <w:r w:rsidRPr="00F87D1E">
        <w:rPr>
          <w:rFonts w:ascii="Sylfaen" w:hAnsi="Sylfaen"/>
          <w:sz w:val="22"/>
          <w:szCs w:val="22"/>
          <w:lang w:val="en-US"/>
        </w:rPr>
        <w:t>Alkassim</w:t>
      </w:r>
      <w:proofErr w:type="spellEnd"/>
      <w:r w:rsidRPr="00F87D1E">
        <w:rPr>
          <w:rFonts w:ascii="Sylfaen" w:hAnsi="Sylfaen"/>
          <w:sz w:val="22"/>
          <w:szCs w:val="22"/>
          <w:lang w:val="en-US"/>
        </w:rPr>
        <w:t>, 2016).</w:t>
      </w:r>
    </w:p>
    <w:p w14:paraId="2320400C" w14:textId="77777777" w:rsidR="00F87D1E" w:rsidRPr="00F87D1E" w:rsidRDefault="00F87D1E" w:rsidP="00F87D1E">
      <w:pPr>
        <w:tabs>
          <w:tab w:val="left" w:pos="1134"/>
        </w:tabs>
        <w:jc w:val="both"/>
        <w:rPr>
          <w:rFonts w:ascii="Sylfaen" w:hAnsi="Sylfaen"/>
          <w:sz w:val="22"/>
          <w:szCs w:val="22"/>
          <w:lang w:val="en-US"/>
        </w:rPr>
      </w:pPr>
    </w:p>
    <w:p w14:paraId="75815B0B" w14:textId="77777777" w:rsidR="00F87D1E" w:rsidRPr="00F87D1E" w:rsidRDefault="00F87D1E" w:rsidP="00F87D1E">
      <w:pPr>
        <w:spacing w:before="240" w:after="120"/>
        <w:jc w:val="both"/>
        <w:rPr>
          <w:rFonts w:ascii="Sylfaen" w:hAnsi="Sylfaen"/>
          <w:sz w:val="22"/>
          <w:szCs w:val="22"/>
          <w:lang w:val="en-US"/>
        </w:rPr>
      </w:pPr>
      <w:r w:rsidRPr="00F87D1E">
        <w:rPr>
          <w:rFonts w:ascii="Sylfaen" w:hAnsi="Sylfaen"/>
          <w:sz w:val="22"/>
          <w:szCs w:val="22"/>
          <w:lang w:val="en-US"/>
        </w:rPr>
        <w:t>While the total number of respondents was modest, the sample was considered representative of the broader teaching community in government-aided schools, particularly in terms of years of service, engagement with development programs, and institutional familiarity.</w:t>
      </w:r>
    </w:p>
    <w:p w14:paraId="7E8E9906" w14:textId="77777777" w:rsidR="00F87D1E" w:rsidRPr="00F87D1E" w:rsidRDefault="00F87D1E" w:rsidP="00F87D1E">
      <w:pPr>
        <w:jc w:val="both"/>
        <w:rPr>
          <w:rFonts w:ascii="Sylfaen" w:hAnsi="Sylfaen"/>
          <w:b/>
          <w:bCs/>
          <w:sz w:val="22"/>
          <w:szCs w:val="22"/>
          <w:lang w:val="en-US"/>
        </w:rPr>
      </w:pPr>
      <w:r w:rsidRPr="00F87D1E">
        <w:rPr>
          <w:rFonts w:ascii="Sylfaen" w:hAnsi="Sylfaen"/>
          <w:b/>
          <w:bCs/>
          <w:sz w:val="22"/>
          <w:szCs w:val="22"/>
          <w:lang w:val="en-US"/>
        </w:rPr>
        <w:t>3.3 Data Collection Tool</w:t>
      </w:r>
    </w:p>
    <w:p w14:paraId="3F9167E7" w14:textId="77777777" w:rsidR="00F87D1E" w:rsidRPr="00F87D1E" w:rsidRDefault="00F87D1E" w:rsidP="00F87D1E">
      <w:pPr>
        <w:spacing w:before="240" w:after="120"/>
        <w:jc w:val="both"/>
        <w:rPr>
          <w:rFonts w:ascii="Sylfaen" w:hAnsi="Sylfaen"/>
          <w:sz w:val="22"/>
          <w:szCs w:val="22"/>
          <w:lang w:val="en-US"/>
        </w:rPr>
      </w:pPr>
      <w:r w:rsidRPr="00F87D1E">
        <w:rPr>
          <w:rFonts w:ascii="Sylfaen" w:hAnsi="Sylfaen"/>
          <w:sz w:val="22"/>
          <w:szCs w:val="22"/>
          <w:lang w:val="en-US"/>
        </w:rPr>
        <w:t xml:space="preserve">The primary instrument for data collection was a </w:t>
      </w:r>
      <w:r w:rsidRPr="00F87D1E">
        <w:rPr>
          <w:rFonts w:ascii="Sylfaen" w:hAnsi="Sylfaen"/>
          <w:b/>
          <w:bCs/>
          <w:sz w:val="22"/>
          <w:szCs w:val="22"/>
          <w:lang w:val="en-US"/>
        </w:rPr>
        <w:t>structured questionnaire</w:t>
      </w:r>
      <w:r w:rsidRPr="00F87D1E">
        <w:rPr>
          <w:rFonts w:ascii="Sylfaen" w:hAnsi="Sylfaen"/>
          <w:sz w:val="22"/>
          <w:szCs w:val="22"/>
          <w:lang w:val="en-US"/>
        </w:rPr>
        <w:t>, designed to gather quantifiable responses related to:</w:t>
      </w:r>
    </w:p>
    <w:p w14:paraId="484BD1F9" w14:textId="77777777" w:rsidR="00F87D1E" w:rsidRPr="00F87D1E" w:rsidRDefault="00F87D1E" w:rsidP="00F87D1E">
      <w:pPr>
        <w:numPr>
          <w:ilvl w:val="0"/>
          <w:numId w:val="27"/>
        </w:numPr>
        <w:tabs>
          <w:tab w:val="clear" w:pos="720"/>
        </w:tabs>
        <w:ind w:left="426" w:hanging="426"/>
        <w:jc w:val="both"/>
        <w:rPr>
          <w:rFonts w:ascii="Sylfaen" w:hAnsi="Sylfaen"/>
          <w:sz w:val="22"/>
          <w:szCs w:val="22"/>
          <w:lang w:val="en-US"/>
        </w:rPr>
      </w:pPr>
      <w:r w:rsidRPr="00F87D1E">
        <w:rPr>
          <w:rFonts w:ascii="Sylfaen" w:hAnsi="Sylfaen"/>
          <w:sz w:val="22"/>
          <w:szCs w:val="22"/>
          <w:lang w:val="en-US"/>
        </w:rPr>
        <w:t>Weekly time spent on teaching, planning, administrative duties, and other school-related activities.</w:t>
      </w:r>
    </w:p>
    <w:p w14:paraId="1FC31B1F" w14:textId="77777777" w:rsidR="00F87D1E" w:rsidRPr="00F87D1E" w:rsidRDefault="00F87D1E" w:rsidP="00F87D1E">
      <w:pPr>
        <w:numPr>
          <w:ilvl w:val="0"/>
          <w:numId w:val="27"/>
        </w:numPr>
        <w:tabs>
          <w:tab w:val="clear" w:pos="720"/>
        </w:tabs>
        <w:ind w:left="426" w:hanging="426"/>
        <w:jc w:val="both"/>
        <w:rPr>
          <w:rFonts w:ascii="Sylfaen" w:hAnsi="Sylfaen"/>
          <w:sz w:val="22"/>
          <w:szCs w:val="22"/>
          <w:lang w:val="en-US"/>
        </w:rPr>
      </w:pPr>
      <w:r w:rsidRPr="00F87D1E">
        <w:rPr>
          <w:rFonts w:ascii="Sylfaen" w:hAnsi="Sylfaen"/>
          <w:sz w:val="22"/>
          <w:szCs w:val="22"/>
          <w:lang w:val="en-US"/>
        </w:rPr>
        <w:t>Participation in professional development activities, including workshops, training programs, and scheduled school-level meetings.</w:t>
      </w:r>
    </w:p>
    <w:p w14:paraId="1AF429B0" w14:textId="77777777" w:rsidR="00F87D1E" w:rsidRPr="00F87D1E" w:rsidRDefault="00F87D1E" w:rsidP="00F87D1E">
      <w:pPr>
        <w:numPr>
          <w:ilvl w:val="0"/>
          <w:numId w:val="27"/>
        </w:numPr>
        <w:tabs>
          <w:tab w:val="clear" w:pos="720"/>
        </w:tabs>
        <w:ind w:left="426" w:hanging="426"/>
        <w:jc w:val="both"/>
        <w:rPr>
          <w:rFonts w:ascii="Sylfaen" w:hAnsi="Sylfaen"/>
          <w:sz w:val="22"/>
          <w:szCs w:val="22"/>
          <w:lang w:val="en-US"/>
        </w:rPr>
      </w:pPr>
      <w:r w:rsidRPr="00F87D1E">
        <w:rPr>
          <w:rFonts w:ascii="Sylfaen" w:hAnsi="Sylfaen"/>
          <w:sz w:val="22"/>
          <w:szCs w:val="22"/>
          <w:lang w:val="en-US"/>
        </w:rPr>
        <w:t>Impact of training on teacher satisfaction, performance, and professional growth.</w:t>
      </w:r>
    </w:p>
    <w:p w14:paraId="23F00BF9" w14:textId="77777777" w:rsidR="00F87D1E" w:rsidRPr="00F87D1E" w:rsidRDefault="00F87D1E" w:rsidP="00F87D1E">
      <w:pPr>
        <w:numPr>
          <w:ilvl w:val="0"/>
          <w:numId w:val="27"/>
        </w:numPr>
        <w:tabs>
          <w:tab w:val="clear" w:pos="720"/>
        </w:tabs>
        <w:ind w:left="426" w:hanging="426"/>
        <w:jc w:val="both"/>
        <w:rPr>
          <w:rFonts w:ascii="Sylfaen" w:hAnsi="Sylfaen"/>
          <w:sz w:val="22"/>
          <w:szCs w:val="22"/>
          <w:lang w:val="en-US"/>
        </w:rPr>
      </w:pPr>
      <w:r w:rsidRPr="00F87D1E">
        <w:rPr>
          <w:rFonts w:ascii="Sylfaen" w:hAnsi="Sylfaen"/>
          <w:sz w:val="22"/>
          <w:szCs w:val="22"/>
          <w:lang w:val="en-US"/>
        </w:rPr>
        <w:t>Experiences with and perceptions of appraisal systems, including feedback frequency, fairness, and its effect on career outcomes.</w:t>
      </w:r>
    </w:p>
    <w:p w14:paraId="4B080A6D" w14:textId="77777777" w:rsidR="00F87D1E" w:rsidRPr="00F87D1E" w:rsidRDefault="00F87D1E" w:rsidP="00F87D1E">
      <w:pPr>
        <w:spacing w:before="240" w:after="120"/>
        <w:jc w:val="both"/>
        <w:rPr>
          <w:rFonts w:ascii="Sylfaen" w:hAnsi="Sylfaen"/>
          <w:sz w:val="22"/>
          <w:szCs w:val="22"/>
          <w:lang w:val="en-US"/>
        </w:rPr>
      </w:pPr>
      <w:r w:rsidRPr="00F87D1E">
        <w:rPr>
          <w:rFonts w:ascii="Sylfaen" w:hAnsi="Sylfaen"/>
          <w:sz w:val="22"/>
          <w:szCs w:val="22"/>
          <w:lang w:val="en-US"/>
        </w:rPr>
        <w:t xml:space="preserve">The questionnaire included </w:t>
      </w:r>
      <w:r w:rsidRPr="00F87D1E">
        <w:rPr>
          <w:rFonts w:ascii="Sylfaen" w:hAnsi="Sylfaen"/>
          <w:b/>
          <w:bCs/>
          <w:sz w:val="22"/>
          <w:szCs w:val="22"/>
          <w:lang w:val="en-US"/>
        </w:rPr>
        <w:t>close-ended items</w:t>
      </w:r>
      <w:r w:rsidRPr="00F87D1E">
        <w:rPr>
          <w:rFonts w:ascii="Sylfaen" w:hAnsi="Sylfaen"/>
          <w:sz w:val="22"/>
          <w:szCs w:val="22"/>
          <w:lang w:val="en-US"/>
        </w:rPr>
        <w:t xml:space="preserve">, many of which used </w:t>
      </w:r>
      <w:r w:rsidRPr="00F87D1E">
        <w:rPr>
          <w:rFonts w:ascii="Sylfaen" w:hAnsi="Sylfaen"/>
          <w:b/>
          <w:bCs/>
          <w:sz w:val="22"/>
          <w:szCs w:val="22"/>
          <w:lang w:val="en-US"/>
        </w:rPr>
        <w:t>Likert-type scales</w:t>
      </w:r>
      <w:r w:rsidRPr="00F87D1E">
        <w:rPr>
          <w:rFonts w:ascii="Sylfaen" w:hAnsi="Sylfaen"/>
          <w:sz w:val="22"/>
          <w:szCs w:val="22"/>
          <w:lang w:val="en-US"/>
        </w:rPr>
        <w:t xml:space="preserve"> to gauge the degree of agreement or impact (e.g., “no impact” to “large </w:t>
      </w:r>
      <w:r w:rsidRPr="00F87D1E">
        <w:rPr>
          <w:rFonts w:ascii="Sylfaen" w:hAnsi="Sylfaen"/>
          <w:sz w:val="22"/>
          <w:szCs w:val="22"/>
          <w:lang w:val="en-US"/>
        </w:rPr>
        <w:lastRenderedPageBreak/>
        <w:t>impact”). Multiple-choice and check-box formats were used for categorical variables such as years of experience, participation frequency, and type of training attended. This design ensured consistency in responses and facilitated straightforward statistical analysis.</w:t>
      </w:r>
    </w:p>
    <w:p w14:paraId="0E84CF91" w14:textId="77777777" w:rsidR="00F87D1E" w:rsidRPr="00F87D1E" w:rsidRDefault="00F87D1E" w:rsidP="00F87D1E">
      <w:pPr>
        <w:spacing w:before="240" w:after="120"/>
        <w:jc w:val="both"/>
        <w:rPr>
          <w:rFonts w:ascii="Sylfaen" w:hAnsi="Sylfaen"/>
          <w:sz w:val="22"/>
          <w:szCs w:val="22"/>
          <w:lang w:val="en-US"/>
        </w:rPr>
      </w:pPr>
      <w:r w:rsidRPr="00F87D1E">
        <w:rPr>
          <w:rFonts w:ascii="Sylfaen" w:hAnsi="Sylfaen"/>
          <w:sz w:val="22"/>
          <w:szCs w:val="22"/>
          <w:lang w:val="en-US"/>
        </w:rPr>
        <w:t>The questionnaire was initially piloted with a small group of teachers outside the target sample to refine clarity, language, and item validity. Based on pilot feedback, some items were modified to enhance contextual relevance and respondent comprehension.</w:t>
      </w:r>
    </w:p>
    <w:p w14:paraId="181BAA98" w14:textId="77777777" w:rsidR="00F87D1E" w:rsidRPr="00F87D1E" w:rsidRDefault="00F87D1E" w:rsidP="00F87D1E">
      <w:pPr>
        <w:spacing w:before="240" w:after="120"/>
        <w:jc w:val="both"/>
        <w:rPr>
          <w:rFonts w:ascii="Sylfaen" w:hAnsi="Sylfaen"/>
          <w:b/>
          <w:bCs/>
          <w:sz w:val="22"/>
          <w:szCs w:val="22"/>
          <w:lang w:val="en-US"/>
        </w:rPr>
      </w:pPr>
      <w:r w:rsidRPr="00F87D1E">
        <w:rPr>
          <w:rFonts w:ascii="Sylfaen" w:hAnsi="Sylfaen"/>
          <w:b/>
          <w:bCs/>
          <w:sz w:val="22"/>
          <w:szCs w:val="22"/>
          <w:lang w:val="en-US"/>
        </w:rPr>
        <w:t>3.4 Data Collection Procedure</w:t>
      </w:r>
    </w:p>
    <w:p w14:paraId="786C568B" w14:textId="77777777" w:rsidR="00F87D1E" w:rsidRPr="00F87D1E" w:rsidRDefault="00F87D1E" w:rsidP="00F87D1E">
      <w:pPr>
        <w:spacing w:before="240" w:after="120"/>
        <w:jc w:val="both"/>
        <w:rPr>
          <w:rFonts w:ascii="Sylfaen" w:hAnsi="Sylfaen"/>
          <w:sz w:val="22"/>
          <w:szCs w:val="22"/>
          <w:lang w:val="en-US"/>
        </w:rPr>
      </w:pPr>
      <w:r w:rsidRPr="00F87D1E">
        <w:rPr>
          <w:rFonts w:ascii="Sylfaen" w:hAnsi="Sylfaen"/>
          <w:sz w:val="22"/>
          <w:szCs w:val="22"/>
          <w:lang w:val="en-US"/>
        </w:rPr>
        <w:t xml:space="preserve">The final version of the questionnaire was distributed in both </w:t>
      </w:r>
      <w:r w:rsidRPr="00F87D1E">
        <w:rPr>
          <w:rFonts w:ascii="Sylfaen" w:hAnsi="Sylfaen"/>
          <w:b/>
          <w:bCs/>
          <w:sz w:val="22"/>
          <w:szCs w:val="22"/>
          <w:lang w:val="en-US"/>
        </w:rPr>
        <w:t>paper-based and digital formats</w:t>
      </w:r>
      <w:r w:rsidRPr="00F87D1E">
        <w:rPr>
          <w:rFonts w:ascii="Sylfaen" w:hAnsi="Sylfaen"/>
          <w:sz w:val="22"/>
          <w:szCs w:val="22"/>
          <w:lang w:val="en-US"/>
        </w:rPr>
        <w:t xml:space="preserve"> to ensure maximum accessibility and participation, especially for teachers in remote or low-connectivity areas. Field visits were conducted in schools located in different talukas of Valsad, while digital platforms such as email and WhatsApp were used for teachers who preferred electronic communication.</w:t>
      </w:r>
    </w:p>
    <w:p w14:paraId="6F40FDB7" w14:textId="77777777" w:rsidR="00F87D1E" w:rsidRPr="00F87D1E" w:rsidRDefault="00F87D1E" w:rsidP="00F87D1E">
      <w:pPr>
        <w:spacing w:before="240" w:after="120"/>
        <w:jc w:val="both"/>
        <w:rPr>
          <w:rFonts w:ascii="Sylfaen" w:hAnsi="Sylfaen"/>
          <w:sz w:val="22"/>
          <w:szCs w:val="22"/>
          <w:lang w:val="en-US"/>
        </w:rPr>
      </w:pPr>
      <w:r w:rsidRPr="00F87D1E">
        <w:rPr>
          <w:rFonts w:ascii="Sylfaen" w:hAnsi="Sylfaen"/>
          <w:sz w:val="22"/>
          <w:szCs w:val="22"/>
          <w:lang w:val="en-US"/>
        </w:rPr>
        <w:t xml:space="preserve">Participation was voluntary and anonymous, and respondents were assured of the confidentiality of their responses. The data collection process spanned </w:t>
      </w:r>
      <w:r w:rsidRPr="00F87D1E">
        <w:rPr>
          <w:rFonts w:ascii="Sylfaen" w:hAnsi="Sylfaen"/>
          <w:b/>
          <w:bCs/>
          <w:sz w:val="22"/>
          <w:szCs w:val="22"/>
          <w:lang w:val="en-US"/>
        </w:rPr>
        <w:t>approximately four weeks</w:t>
      </w:r>
      <w:r w:rsidRPr="00F87D1E">
        <w:rPr>
          <w:rFonts w:ascii="Sylfaen" w:hAnsi="Sylfaen"/>
          <w:sz w:val="22"/>
          <w:szCs w:val="22"/>
          <w:lang w:val="en-US"/>
        </w:rPr>
        <w:t>, with periodic follow-ups to increase the response rate and ensure complete data sets.</w:t>
      </w:r>
    </w:p>
    <w:p w14:paraId="2B5252FD" w14:textId="77777777" w:rsidR="00F87D1E" w:rsidRPr="00F87D1E" w:rsidRDefault="00F87D1E" w:rsidP="00F87D1E">
      <w:pPr>
        <w:spacing w:before="240" w:after="120"/>
        <w:jc w:val="both"/>
        <w:rPr>
          <w:rFonts w:ascii="Sylfaen" w:hAnsi="Sylfaen"/>
          <w:b/>
          <w:bCs/>
          <w:sz w:val="22"/>
          <w:szCs w:val="22"/>
          <w:lang w:val="en-US"/>
        </w:rPr>
      </w:pPr>
      <w:r w:rsidRPr="00F87D1E">
        <w:rPr>
          <w:rFonts w:ascii="Sylfaen" w:hAnsi="Sylfaen"/>
          <w:b/>
          <w:bCs/>
          <w:sz w:val="22"/>
          <w:szCs w:val="22"/>
          <w:lang w:val="en-US"/>
        </w:rPr>
        <w:t>3.5 Data Analysis</w:t>
      </w:r>
    </w:p>
    <w:p w14:paraId="708D3D9B" w14:textId="104670FB" w:rsidR="00F87D1E" w:rsidRPr="00F87D1E" w:rsidRDefault="00F87D1E" w:rsidP="00F87D1E">
      <w:pPr>
        <w:tabs>
          <w:tab w:val="left" w:pos="1134"/>
        </w:tabs>
        <w:jc w:val="both"/>
        <w:rPr>
          <w:rFonts w:ascii="Sylfaen" w:hAnsi="Sylfaen"/>
          <w:sz w:val="22"/>
          <w:szCs w:val="22"/>
          <w:lang w:val="en-US"/>
        </w:rPr>
      </w:pPr>
      <w:r w:rsidRPr="00F87D1E">
        <w:rPr>
          <w:rFonts w:ascii="Sylfaen" w:hAnsi="Sylfaen"/>
          <w:sz w:val="22"/>
          <w:szCs w:val="22"/>
          <w:lang w:val="en-US"/>
        </w:rPr>
        <w:t xml:space="preserve">Once collected, data were compiled using </w:t>
      </w:r>
      <w:r w:rsidRPr="00F87D1E">
        <w:rPr>
          <w:rFonts w:ascii="Sylfaen" w:hAnsi="Sylfaen"/>
          <w:b/>
          <w:bCs/>
          <w:sz w:val="22"/>
          <w:szCs w:val="22"/>
          <w:lang w:val="en-US"/>
        </w:rPr>
        <w:t>Microsoft Excel</w:t>
      </w:r>
      <w:r w:rsidRPr="00F87D1E">
        <w:rPr>
          <w:rFonts w:ascii="Sylfaen" w:hAnsi="Sylfaen"/>
          <w:sz w:val="22"/>
          <w:szCs w:val="22"/>
          <w:lang w:val="en-US"/>
        </w:rPr>
        <w:t xml:space="preserve"> and statistically analyzed using </w:t>
      </w:r>
      <w:r w:rsidRPr="00F87D1E">
        <w:rPr>
          <w:rFonts w:ascii="Sylfaen" w:hAnsi="Sylfaen"/>
          <w:b/>
          <w:bCs/>
          <w:sz w:val="22"/>
          <w:szCs w:val="22"/>
          <w:lang w:val="en-US"/>
        </w:rPr>
        <w:t>SPSS (Statistical Package for the Social Sciences)</w:t>
      </w:r>
      <w:r w:rsidRPr="00F87D1E">
        <w:rPr>
          <w:rFonts w:ascii="Sylfaen" w:hAnsi="Sylfaen"/>
          <w:sz w:val="22"/>
          <w:szCs w:val="22"/>
          <w:lang w:val="en-US"/>
        </w:rPr>
        <w:t xml:space="preserve">. The primary methods of analysis included </w:t>
      </w:r>
      <w:r w:rsidRPr="00F87D1E">
        <w:rPr>
          <w:rFonts w:ascii="Sylfaen" w:hAnsi="Sylfaen"/>
          <w:b/>
          <w:bCs/>
          <w:sz w:val="22"/>
          <w:szCs w:val="22"/>
          <w:lang w:val="en-US"/>
        </w:rPr>
        <w:t>frequency counts, percentage distributions</w:t>
      </w:r>
      <w:r w:rsidRPr="00F87D1E">
        <w:rPr>
          <w:rFonts w:ascii="Sylfaen" w:hAnsi="Sylfaen"/>
          <w:sz w:val="22"/>
          <w:szCs w:val="22"/>
          <w:lang w:val="en-US"/>
        </w:rPr>
        <w:t xml:space="preserve">, and </w:t>
      </w:r>
      <w:r w:rsidRPr="00F87D1E">
        <w:rPr>
          <w:rFonts w:ascii="Sylfaen" w:hAnsi="Sylfaen"/>
          <w:b/>
          <w:bCs/>
          <w:sz w:val="22"/>
          <w:szCs w:val="22"/>
          <w:lang w:val="en-US"/>
        </w:rPr>
        <w:t>cross-tabulations</w:t>
      </w:r>
      <w:r w:rsidRPr="00F87D1E">
        <w:rPr>
          <w:rFonts w:ascii="Sylfaen" w:hAnsi="Sylfaen"/>
          <w:sz w:val="22"/>
          <w:szCs w:val="22"/>
          <w:lang w:val="en-US"/>
        </w:rPr>
        <w:t xml:space="preserve"> to identify trends and relationships across key variables. This analytical strategy allowed the researchers to interpret the quantitative findings with clarity, revealing the most common perceptions, experiences, and practices among the teachers surveyed.</w:t>
      </w:r>
    </w:p>
    <w:p w14:paraId="4FD5B8F4" w14:textId="77777777" w:rsidR="00F87D1E" w:rsidRPr="00F87D1E" w:rsidRDefault="00F87D1E" w:rsidP="00F87D1E">
      <w:pPr>
        <w:tabs>
          <w:tab w:val="left" w:pos="1134"/>
        </w:tabs>
        <w:jc w:val="both"/>
        <w:rPr>
          <w:rFonts w:ascii="Sylfaen" w:hAnsi="Sylfaen"/>
          <w:sz w:val="22"/>
          <w:szCs w:val="22"/>
          <w:lang w:val="en-US"/>
        </w:rPr>
      </w:pPr>
    </w:p>
    <w:p w14:paraId="66E5637E" w14:textId="77777777" w:rsidR="00F87D1E" w:rsidRPr="00F87D1E" w:rsidRDefault="00F87D1E" w:rsidP="00F87D1E">
      <w:pPr>
        <w:spacing w:before="240" w:after="120"/>
        <w:jc w:val="both"/>
        <w:rPr>
          <w:rFonts w:ascii="Sylfaen" w:hAnsi="Sylfaen"/>
          <w:sz w:val="22"/>
          <w:szCs w:val="22"/>
          <w:lang w:val="en-US"/>
        </w:rPr>
      </w:pPr>
      <w:r w:rsidRPr="00F87D1E">
        <w:rPr>
          <w:rFonts w:ascii="Sylfaen" w:hAnsi="Sylfaen"/>
          <w:sz w:val="22"/>
          <w:szCs w:val="22"/>
          <w:lang w:val="en-US"/>
        </w:rPr>
        <w:t xml:space="preserve">The use of </w:t>
      </w:r>
      <w:r w:rsidRPr="00F87D1E">
        <w:rPr>
          <w:rFonts w:ascii="Sylfaen" w:hAnsi="Sylfaen"/>
          <w:b/>
          <w:bCs/>
          <w:sz w:val="22"/>
          <w:szCs w:val="22"/>
          <w:lang w:val="en-US"/>
        </w:rPr>
        <w:t>content and percentage analysis</w:t>
      </w:r>
      <w:r w:rsidRPr="00F87D1E">
        <w:rPr>
          <w:rFonts w:ascii="Sylfaen" w:hAnsi="Sylfaen"/>
          <w:sz w:val="22"/>
          <w:szCs w:val="22"/>
          <w:lang w:val="en-US"/>
        </w:rPr>
        <w:t xml:space="preserve"> was particularly important for interpreting patterns in professional development participation, time management, and appraisal impact. The emphasis was placed on understanding the broader implications of </w:t>
      </w:r>
      <w:r w:rsidRPr="00F87D1E">
        <w:rPr>
          <w:rFonts w:ascii="Sylfaen" w:hAnsi="Sylfaen"/>
          <w:sz w:val="22"/>
          <w:szCs w:val="22"/>
          <w:lang w:val="en-US"/>
        </w:rPr>
        <w:t>these practices on teacher motivation, satisfaction, and institutional effectiveness.</w:t>
      </w:r>
    </w:p>
    <w:p w14:paraId="0926B636" w14:textId="77777777" w:rsidR="00F87D1E" w:rsidRPr="00F87D1E" w:rsidRDefault="00F87D1E" w:rsidP="00F87D1E">
      <w:pPr>
        <w:spacing w:after="160"/>
        <w:rPr>
          <w:rFonts w:ascii="Sylfaen" w:hAnsi="Sylfaen"/>
          <w:b/>
          <w:bCs/>
          <w:sz w:val="22"/>
          <w:szCs w:val="22"/>
          <w:lang w:val="en-US"/>
        </w:rPr>
      </w:pPr>
      <w:r w:rsidRPr="00F87D1E">
        <w:rPr>
          <w:rFonts w:ascii="Sylfaen" w:hAnsi="Sylfaen"/>
          <w:b/>
          <w:bCs/>
          <w:sz w:val="22"/>
          <w:szCs w:val="22"/>
          <w:lang w:val="en-US"/>
        </w:rPr>
        <w:t>4. Results and Analysis</w:t>
      </w:r>
    </w:p>
    <w:p w14:paraId="2D28FC80" w14:textId="77777777" w:rsidR="00F87D1E" w:rsidRPr="00F87D1E" w:rsidRDefault="00F87D1E" w:rsidP="00F87D1E">
      <w:pPr>
        <w:spacing w:before="240" w:after="120"/>
        <w:jc w:val="both"/>
        <w:rPr>
          <w:rFonts w:ascii="Sylfaen" w:hAnsi="Sylfaen"/>
          <w:sz w:val="22"/>
          <w:szCs w:val="22"/>
        </w:rPr>
      </w:pPr>
      <w:r w:rsidRPr="00F87D1E">
        <w:rPr>
          <w:rFonts w:ascii="Sylfaen" w:hAnsi="Sylfaen"/>
          <w:sz w:val="22"/>
          <w:szCs w:val="22"/>
        </w:rPr>
        <w:t>Content and percentage analyses were performed on the survey data. What follows is a tabular presentation of the findings. In order to compare the levels of work satisfaction across government-aided schools, the research sought to gather data pertaining to the goals.</w:t>
      </w:r>
    </w:p>
    <w:p w14:paraId="703CC884" w14:textId="62DCD1DB" w:rsidR="00F87D1E" w:rsidRPr="00F87D1E" w:rsidRDefault="00F87D1E" w:rsidP="00F87D1E">
      <w:pPr>
        <w:spacing w:before="240" w:after="120"/>
        <w:jc w:val="center"/>
        <w:rPr>
          <w:rFonts w:ascii="Sylfaen" w:hAnsi="Sylfaen"/>
          <w:b/>
          <w:bCs/>
          <w:sz w:val="22"/>
          <w:szCs w:val="22"/>
          <w:lang w:val="en-US"/>
        </w:rPr>
      </w:pPr>
      <w:r w:rsidRPr="00F87D1E">
        <w:rPr>
          <w:rFonts w:ascii="Sylfaen" w:hAnsi="Sylfaen"/>
          <w:b/>
          <w:bCs/>
          <w:sz w:val="22"/>
          <w:szCs w:val="22"/>
          <w:lang w:val="en-US"/>
        </w:rPr>
        <w:t xml:space="preserve">Table </w:t>
      </w:r>
      <w:proofErr w:type="gramStart"/>
      <w:r w:rsidRPr="00F87D1E">
        <w:rPr>
          <w:rFonts w:ascii="Sylfaen" w:hAnsi="Sylfaen"/>
          <w:b/>
          <w:bCs/>
          <w:sz w:val="22"/>
          <w:szCs w:val="22"/>
          <w:lang w:val="en-US"/>
        </w:rPr>
        <w:t>1</w:t>
      </w:r>
      <w:r>
        <w:rPr>
          <w:rFonts w:ascii="Sylfaen" w:hAnsi="Sylfaen"/>
          <w:b/>
          <w:bCs/>
          <w:sz w:val="22"/>
          <w:szCs w:val="22"/>
          <w:lang w:val="en-US"/>
        </w:rPr>
        <w:t xml:space="preserve"> </w:t>
      </w:r>
      <w:r w:rsidRPr="00F87D1E">
        <w:rPr>
          <w:rFonts w:ascii="Sylfaen" w:hAnsi="Sylfaen"/>
          <w:b/>
          <w:bCs/>
          <w:sz w:val="22"/>
          <w:szCs w:val="22"/>
          <w:lang w:val="en-US"/>
        </w:rPr>
        <w:t>:</w:t>
      </w:r>
      <w:proofErr w:type="gramEnd"/>
      <w:r>
        <w:rPr>
          <w:rFonts w:ascii="Sylfaen" w:hAnsi="Sylfaen"/>
          <w:b/>
          <w:bCs/>
          <w:sz w:val="22"/>
          <w:szCs w:val="22"/>
          <w:lang w:val="en-US"/>
        </w:rPr>
        <w:t xml:space="preserve"> </w:t>
      </w:r>
      <w:r w:rsidRPr="00F87D1E">
        <w:rPr>
          <w:rFonts w:ascii="Sylfaen" w:hAnsi="Sylfaen"/>
          <w:b/>
          <w:bCs/>
          <w:sz w:val="22"/>
          <w:szCs w:val="22"/>
          <w:lang w:val="en-US"/>
        </w:rPr>
        <w:t>Distribution of Weekly Working Hours of Government-Aided School Teachers Across Teaching, Planning, Administration, and Other Activities</w:t>
      </w:r>
      <w:r w:rsidRPr="00F87D1E">
        <w:rPr>
          <w:rFonts w:ascii="Sylfaen" w:hAnsi="Sylfaen"/>
          <w:b/>
          <w:bCs/>
          <w:sz w:val="22"/>
          <w:szCs w:val="22"/>
          <w:lang w:val="en-US"/>
        </w:rPr>
        <w:br/>
      </w:r>
      <w:r w:rsidRPr="00F87D1E">
        <w:rPr>
          <w:rFonts w:ascii="Sylfaen" w:hAnsi="Sylfaen"/>
          <w:noProof/>
          <w:sz w:val="22"/>
          <w:szCs w:val="22"/>
          <w:lang w:val="en-US" w:eastAsia="en-US"/>
        </w:rPr>
        <w:drawing>
          <wp:inline distT="0" distB="0" distL="0" distR="0" wp14:anchorId="48C148E1" wp14:editId="033718D8">
            <wp:extent cx="3189070" cy="3578317"/>
            <wp:effectExtent l="0" t="0" r="0" b="0"/>
            <wp:docPr id="5333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246" name=""/>
                    <pic:cNvPicPr/>
                  </pic:nvPicPr>
                  <pic:blipFill>
                    <a:blip r:embed="rId12"/>
                    <a:stretch>
                      <a:fillRect/>
                    </a:stretch>
                  </pic:blipFill>
                  <pic:spPr>
                    <a:xfrm>
                      <a:off x="0" y="0"/>
                      <a:ext cx="3190764" cy="3580218"/>
                    </a:xfrm>
                    <a:prstGeom prst="rect">
                      <a:avLst/>
                    </a:prstGeom>
                  </pic:spPr>
                </pic:pic>
              </a:graphicData>
            </a:graphic>
          </wp:inline>
        </w:drawing>
      </w:r>
    </w:p>
    <w:p w14:paraId="724378C9" w14:textId="77777777" w:rsidR="00F87D1E" w:rsidRPr="00F87D1E" w:rsidRDefault="00F87D1E" w:rsidP="00F87D1E">
      <w:pPr>
        <w:spacing w:before="240" w:after="120"/>
        <w:jc w:val="both"/>
        <w:rPr>
          <w:rFonts w:ascii="Sylfaen" w:hAnsi="Sylfaen"/>
          <w:sz w:val="22"/>
          <w:szCs w:val="22"/>
          <w:lang w:val="en-US"/>
        </w:rPr>
      </w:pPr>
      <w:r w:rsidRPr="00F87D1E">
        <w:rPr>
          <w:rFonts w:ascii="Sylfaen" w:hAnsi="Sylfaen"/>
          <w:sz w:val="22"/>
          <w:szCs w:val="22"/>
          <w:lang w:val="en-US"/>
        </w:rPr>
        <w:t xml:space="preserve">This table presents how government-aided school teachers allocate their time across core professional responsibilities during a typical workweek. The data reveal that 62.5% of teachers spend between 21 to 30 hours per week on teaching activities, while the remaining 37.5% allocate only 0 to 10 hours, indicating a disparity likely influenced by administrative duties or part-time roles. Notably, 100% of respondents reported spending just 0 to 5 hours per week on planning, administrative tasks, and other school-related activities, suggesting a possible undervaluation of these essential yet often invisible aspects of teaching. The limited time dedicated to planning and administration could either reflect high teaching loads or insufficient institutional emphasis </w:t>
      </w:r>
      <w:r w:rsidRPr="00F87D1E">
        <w:rPr>
          <w:rFonts w:ascii="Sylfaen" w:hAnsi="Sylfaen"/>
          <w:sz w:val="22"/>
          <w:szCs w:val="22"/>
          <w:lang w:val="en-US"/>
        </w:rPr>
        <w:lastRenderedPageBreak/>
        <w:t>on structured preparation and school management tasks. This insight underscores the need for more balanced time management structures that prioritize planning and administrative engagement, critical for effective pedagogy and school functioning.</w:t>
      </w:r>
    </w:p>
    <w:p w14:paraId="6CFF4D7E" w14:textId="0C16AD84" w:rsidR="00F87D1E" w:rsidRPr="00F87D1E" w:rsidRDefault="00F87D1E" w:rsidP="00F87D1E">
      <w:pPr>
        <w:spacing w:before="240" w:after="120"/>
        <w:jc w:val="center"/>
        <w:rPr>
          <w:rFonts w:ascii="Sylfaen" w:hAnsi="Sylfaen"/>
          <w:b/>
          <w:bCs/>
          <w:sz w:val="22"/>
          <w:szCs w:val="22"/>
          <w:lang w:val="en-US"/>
        </w:rPr>
      </w:pPr>
      <w:r w:rsidRPr="00F87D1E">
        <w:rPr>
          <w:rFonts w:ascii="Sylfaen" w:hAnsi="Sylfaen"/>
          <w:b/>
          <w:bCs/>
          <w:sz w:val="22"/>
          <w:szCs w:val="22"/>
          <w:lang w:val="en-US"/>
        </w:rPr>
        <w:t xml:space="preserve">Table </w:t>
      </w:r>
      <w:proofErr w:type="gramStart"/>
      <w:r w:rsidRPr="00F87D1E">
        <w:rPr>
          <w:rFonts w:ascii="Sylfaen" w:hAnsi="Sylfaen"/>
          <w:b/>
          <w:bCs/>
          <w:sz w:val="22"/>
          <w:szCs w:val="22"/>
          <w:lang w:val="en-US"/>
        </w:rPr>
        <w:t>2</w:t>
      </w:r>
      <w:r>
        <w:rPr>
          <w:rFonts w:ascii="Sylfaen" w:hAnsi="Sylfaen"/>
          <w:b/>
          <w:bCs/>
          <w:sz w:val="22"/>
          <w:szCs w:val="22"/>
          <w:lang w:val="en-US"/>
        </w:rPr>
        <w:t xml:space="preserve"> </w:t>
      </w:r>
      <w:r w:rsidRPr="00F87D1E">
        <w:rPr>
          <w:rFonts w:ascii="Sylfaen" w:hAnsi="Sylfaen"/>
          <w:b/>
          <w:bCs/>
          <w:sz w:val="22"/>
          <w:szCs w:val="22"/>
          <w:lang w:val="en-US"/>
        </w:rPr>
        <w:t>:</w:t>
      </w:r>
      <w:proofErr w:type="gramEnd"/>
      <w:r>
        <w:rPr>
          <w:rFonts w:ascii="Sylfaen" w:hAnsi="Sylfaen"/>
          <w:b/>
          <w:bCs/>
          <w:sz w:val="22"/>
          <w:szCs w:val="22"/>
          <w:lang w:val="en-US"/>
        </w:rPr>
        <w:t xml:space="preserve"> </w:t>
      </w:r>
      <w:r w:rsidRPr="00F87D1E">
        <w:rPr>
          <w:rFonts w:ascii="Sylfaen" w:hAnsi="Sylfaen"/>
          <w:b/>
          <w:bCs/>
          <w:sz w:val="22"/>
          <w:szCs w:val="22"/>
          <w:lang w:val="en-US"/>
        </w:rPr>
        <w:t>Time Management Practices, Teaching Experience, and Participation in Professional Development Activities</w:t>
      </w:r>
    </w:p>
    <w:p w14:paraId="194CC254" w14:textId="77777777" w:rsidR="00F87D1E" w:rsidRPr="00F87D1E" w:rsidRDefault="00F87D1E" w:rsidP="00F87D1E">
      <w:pPr>
        <w:spacing w:before="240" w:after="120"/>
        <w:jc w:val="center"/>
        <w:rPr>
          <w:rFonts w:ascii="Sylfaen" w:hAnsi="Sylfaen"/>
          <w:b/>
          <w:caps/>
          <w:sz w:val="22"/>
          <w:szCs w:val="22"/>
        </w:rPr>
      </w:pPr>
      <w:r w:rsidRPr="00F87D1E">
        <w:rPr>
          <w:rFonts w:ascii="Sylfaen" w:hAnsi="Sylfaen"/>
          <w:b/>
          <w:caps/>
          <w:noProof/>
          <w:sz w:val="22"/>
          <w:szCs w:val="22"/>
          <w:lang w:val="en-US" w:eastAsia="en-US"/>
        </w:rPr>
        <w:drawing>
          <wp:inline distT="0" distB="0" distL="0" distR="0" wp14:anchorId="7AE4B6DF" wp14:editId="38329B64">
            <wp:extent cx="3075949" cy="3758025"/>
            <wp:effectExtent l="0" t="0" r="0" b="0"/>
            <wp:docPr id="20" name="Picture 20" descr="C:\Users\Acer\Desktop\ilovepdf_pages-to-jpg\ilovepdf_pages-to-jpg (1)\Table 4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ilovepdf_pages-to-jpg\ilovepdf_pages-to-jpg (1)\Table 4_page-000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262" t="8391" r="9102" b="14501"/>
                    <a:stretch/>
                  </pic:blipFill>
                  <pic:spPr bwMode="auto">
                    <a:xfrm>
                      <a:off x="0" y="0"/>
                      <a:ext cx="3100485" cy="3788002"/>
                    </a:xfrm>
                    <a:prstGeom prst="rect">
                      <a:avLst/>
                    </a:prstGeom>
                    <a:noFill/>
                    <a:ln>
                      <a:noFill/>
                    </a:ln>
                    <a:extLst>
                      <a:ext uri="{53640926-AAD7-44D8-BBD7-CCE9431645EC}">
                        <a14:shadowObscured xmlns:a14="http://schemas.microsoft.com/office/drawing/2010/main"/>
                      </a:ext>
                    </a:extLst>
                  </pic:spPr>
                </pic:pic>
              </a:graphicData>
            </a:graphic>
          </wp:inline>
        </w:drawing>
      </w:r>
    </w:p>
    <w:p w14:paraId="13211864" w14:textId="77777777" w:rsidR="00F87D1E" w:rsidRPr="00F87D1E" w:rsidRDefault="00F87D1E" w:rsidP="00F87D1E">
      <w:pPr>
        <w:spacing w:before="240" w:after="120"/>
        <w:jc w:val="both"/>
        <w:rPr>
          <w:rFonts w:ascii="Sylfaen" w:hAnsi="Sylfaen"/>
          <w:sz w:val="22"/>
          <w:szCs w:val="22"/>
          <w:lang w:val="en-US"/>
        </w:rPr>
      </w:pPr>
      <w:r w:rsidRPr="00F87D1E">
        <w:rPr>
          <w:rFonts w:ascii="Sylfaen" w:hAnsi="Sylfaen"/>
          <w:sz w:val="22"/>
          <w:szCs w:val="22"/>
          <w:lang w:val="en-US"/>
        </w:rPr>
        <w:t>This table highlights teachers’ strategies for managing teaching, planning, and administrative duties, alongside their years of teaching experience and initial involvement in professional development. A majority (62.5%) of teachers gave no specific response about their time management strategies, though a small but equal proportion (12.5%) cited working during extra hours, planning, or personal convenience. Regarding teaching tenure, the data show a well-distributed experience range, with the largest group falling within the 6–10 and 11–15 years categories (each around 27%). This indicates a mature workforce likely capable of adapting to</w:t>
      </w:r>
      <w:r w:rsidRPr="00F87D1E">
        <w:rPr>
          <w:rFonts w:ascii="Sylfaen" w:hAnsi="Sylfaen"/>
          <w:sz w:val="22"/>
          <w:szCs w:val="22"/>
          <w:lang w:val="en-US"/>
        </w:rPr>
        <w:t xml:space="preserve"> </w:t>
      </w:r>
      <w:r w:rsidRPr="00F87D1E">
        <w:rPr>
          <w:rFonts w:ascii="Sylfaen" w:hAnsi="Sylfaen"/>
          <w:sz w:val="22"/>
          <w:szCs w:val="22"/>
          <w:lang w:val="en-US"/>
        </w:rPr>
        <w:t xml:space="preserve">institutional demands. Additionally, all teachers reported having attended professional development activities such as workshops and courses, though their perceived impact varied. While 27.08% reported no impact, the majority </w:t>
      </w:r>
      <w:r w:rsidRPr="00F87D1E">
        <w:rPr>
          <w:rFonts w:ascii="Sylfaen" w:hAnsi="Sylfaen"/>
          <w:sz w:val="22"/>
          <w:szCs w:val="22"/>
          <w:lang w:val="en-US"/>
        </w:rPr>
        <w:t>(62.5%) saw at least a small to moderate benefit, suggesting that while training is universally provided, its practical utility in teaching varies and may benefit from reform in content or delivery.</w:t>
      </w:r>
    </w:p>
    <w:p w14:paraId="6F7472A3" w14:textId="65985970" w:rsidR="00F87D1E" w:rsidRPr="00F87D1E" w:rsidRDefault="00F87D1E" w:rsidP="00F87D1E">
      <w:pPr>
        <w:spacing w:before="240" w:after="120"/>
        <w:jc w:val="center"/>
        <w:rPr>
          <w:rFonts w:ascii="Sylfaen" w:hAnsi="Sylfaen"/>
          <w:b/>
          <w:bCs/>
          <w:sz w:val="22"/>
          <w:szCs w:val="22"/>
          <w:lang w:val="en-US"/>
        </w:rPr>
      </w:pPr>
      <w:r w:rsidRPr="00F87D1E">
        <w:rPr>
          <w:rFonts w:ascii="Sylfaen" w:hAnsi="Sylfaen"/>
          <w:b/>
          <w:bCs/>
          <w:sz w:val="22"/>
          <w:szCs w:val="22"/>
          <w:lang w:val="en-US"/>
        </w:rPr>
        <w:t xml:space="preserve">Table </w:t>
      </w:r>
      <w:proofErr w:type="gramStart"/>
      <w:r w:rsidRPr="00F87D1E">
        <w:rPr>
          <w:rFonts w:ascii="Sylfaen" w:hAnsi="Sylfaen"/>
          <w:b/>
          <w:bCs/>
          <w:sz w:val="22"/>
          <w:szCs w:val="22"/>
          <w:lang w:val="en-US"/>
        </w:rPr>
        <w:t>3</w:t>
      </w:r>
      <w:r>
        <w:rPr>
          <w:rFonts w:ascii="Sylfaen" w:hAnsi="Sylfaen"/>
          <w:b/>
          <w:bCs/>
          <w:sz w:val="22"/>
          <w:szCs w:val="22"/>
          <w:lang w:val="en-US"/>
        </w:rPr>
        <w:t xml:space="preserve"> </w:t>
      </w:r>
      <w:r w:rsidRPr="00F87D1E">
        <w:rPr>
          <w:rFonts w:ascii="Sylfaen" w:hAnsi="Sylfaen"/>
          <w:b/>
          <w:bCs/>
          <w:sz w:val="22"/>
          <w:szCs w:val="22"/>
          <w:lang w:val="en-US"/>
        </w:rPr>
        <w:t>:</w:t>
      </w:r>
      <w:proofErr w:type="gramEnd"/>
      <w:r>
        <w:rPr>
          <w:rFonts w:ascii="Sylfaen" w:hAnsi="Sylfaen"/>
          <w:b/>
          <w:bCs/>
          <w:sz w:val="22"/>
          <w:szCs w:val="22"/>
          <w:lang w:val="en-US"/>
        </w:rPr>
        <w:t xml:space="preserve"> </w:t>
      </w:r>
      <w:r w:rsidRPr="00F87D1E">
        <w:rPr>
          <w:rFonts w:ascii="Sylfaen" w:hAnsi="Sylfaen"/>
          <w:b/>
          <w:bCs/>
          <w:sz w:val="22"/>
          <w:szCs w:val="22"/>
          <w:lang w:val="en-US"/>
        </w:rPr>
        <w:t>Scheduled Support, Financial Commitment, and Institutional Provisions for Professional Development</w:t>
      </w:r>
    </w:p>
    <w:p w14:paraId="615ED937" w14:textId="77777777" w:rsidR="00F87D1E" w:rsidRPr="00F87D1E" w:rsidRDefault="00F87D1E" w:rsidP="00F87D1E">
      <w:pPr>
        <w:spacing w:before="240" w:after="120"/>
        <w:jc w:val="center"/>
        <w:rPr>
          <w:rFonts w:ascii="Sylfaen" w:hAnsi="Sylfaen"/>
          <w:b/>
          <w:caps/>
          <w:sz w:val="22"/>
          <w:szCs w:val="22"/>
        </w:rPr>
      </w:pPr>
      <w:r w:rsidRPr="00F87D1E">
        <w:rPr>
          <w:rFonts w:ascii="Sylfaen" w:hAnsi="Sylfaen"/>
          <w:b/>
          <w:caps/>
          <w:noProof/>
          <w:sz w:val="22"/>
          <w:szCs w:val="22"/>
          <w:lang w:val="en-US" w:eastAsia="en-US"/>
        </w:rPr>
        <w:drawing>
          <wp:inline distT="0" distB="0" distL="0" distR="0" wp14:anchorId="628C8704" wp14:editId="0D70B73F">
            <wp:extent cx="3118663" cy="4153023"/>
            <wp:effectExtent l="0" t="0" r="0" b="0"/>
            <wp:docPr id="21" name="Picture 21" descr="C:\Users\Acer\Desktop\ilovepdf_pages-to-jpg\ilovepdf_pages-to-jpg (1)\Table 4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ilovepdf_pages-to-jpg\ilovepdf_pages-to-jpg (1)\Table 4_page-000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988" t="8170" r="9978" b="11270"/>
                    <a:stretch/>
                  </pic:blipFill>
                  <pic:spPr bwMode="auto">
                    <a:xfrm>
                      <a:off x="0" y="0"/>
                      <a:ext cx="3134023" cy="4173477"/>
                    </a:xfrm>
                    <a:prstGeom prst="rect">
                      <a:avLst/>
                    </a:prstGeom>
                    <a:noFill/>
                    <a:ln>
                      <a:noFill/>
                    </a:ln>
                    <a:extLst>
                      <a:ext uri="{53640926-AAD7-44D8-BBD7-CCE9431645EC}">
                        <a14:shadowObscured xmlns:a14="http://schemas.microsoft.com/office/drawing/2010/main"/>
                      </a:ext>
                    </a:extLst>
                  </pic:spPr>
                </pic:pic>
              </a:graphicData>
            </a:graphic>
          </wp:inline>
        </w:drawing>
      </w:r>
    </w:p>
    <w:p w14:paraId="0EBFF284" w14:textId="77777777" w:rsidR="00F87D1E" w:rsidRPr="00F87D1E" w:rsidRDefault="00F87D1E" w:rsidP="00F87D1E">
      <w:pPr>
        <w:spacing w:before="240" w:after="120"/>
        <w:jc w:val="both"/>
        <w:rPr>
          <w:rFonts w:ascii="Sylfaen" w:hAnsi="Sylfaen"/>
          <w:sz w:val="22"/>
          <w:szCs w:val="22"/>
          <w:lang w:val="en-US"/>
        </w:rPr>
      </w:pPr>
      <w:r w:rsidRPr="00F87D1E">
        <w:rPr>
          <w:rFonts w:ascii="Sylfaen" w:hAnsi="Sylfaen"/>
          <w:sz w:val="22"/>
          <w:szCs w:val="22"/>
          <w:lang w:val="en-US"/>
        </w:rPr>
        <w:t xml:space="preserve">Table 3 evaluates institutional backing for professional development, including whether training occurs during scheduled hours, is compensated, and if teachers are required to fund it themselves. A striking 100% of respondents confirmed receiving time within regular work hours for such training, and all reported that any development activity held outside these hours was supplemented by salary adjustments—indicating strong institutional support. However, no teacher had to personally fund their development, implying either full sponsorship or centrally organized programs. Despite this, only 47.92% acknowledged that training enriched their knowledge, with over half (52.08%) offering no clear view, hinting at a disconnect between program implementation and perceived learning gains. These results emphasize that </w:t>
      </w:r>
      <w:r w:rsidRPr="00F87D1E">
        <w:rPr>
          <w:rFonts w:ascii="Sylfaen" w:hAnsi="Sylfaen"/>
          <w:sz w:val="22"/>
          <w:szCs w:val="22"/>
          <w:lang w:val="en-US"/>
        </w:rPr>
        <w:lastRenderedPageBreak/>
        <w:t>while logistical and financial support systems for training are robust, there remains a need to improve content quality and relevance to enhance its practical outcomes.</w:t>
      </w:r>
    </w:p>
    <w:p w14:paraId="23F1F773" w14:textId="1DEB6CDE" w:rsidR="00F87D1E" w:rsidRPr="00F87D1E" w:rsidRDefault="00F87D1E" w:rsidP="00F87D1E">
      <w:pPr>
        <w:spacing w:before="240" w:after="120"/>
        <w:jc w:val="center"/>
        <w:rPr>
          <w:rFonts w:ascii="Sylfaen" w:hAnsi="Sylfaen"/>
          <w:b/>
          <w:bCs/>
          <w:sz w:val="22"/>
          <w:szCs w:val="22"/>
          <w:lang w:val="en-US"/>
        </w:rPr>
      </w:pPr>
      <w:r w:rsidRPr="00F87D1E">
        <w:rPr>
          <w:rFonts w:ascii="Sylfaen" w:hAnsi="Sylfaen"/>
          <w:b/>
          <w:bCs/>
          <w:sz w:val="22"/>
          <w:szCs w:val="22"/>
          <w:lang w:val="en-US"/>
        </w:rPr>
        <w:t xml:space="preserve">Table </w:t>
      </w:r>
      <w:proofErr w:type="gramStart"/>
      <w:r w:rsidRPr="00F87D1E">
        <w:rPr>
          <w:rFonts w:ascii="Sylfaen" w:hAnsi="Sylfaen"/>
          <w:b/>
          <w:bCs/>
          <w:sz w:val="22"/>
          <w:szCs w:val="22"/>
          <w:lang w:val="en-US"/>
        </w:rPr>
        <w:t>4</w:t>
      </w:r>
      <w:r>
        <w:rPr>
          <w:rFonts w:ascii="Sylfaen" w:hAnsi="Sylfaen"/>
          <w:b/>
          <w:bCs/>
          <w:sz w:val="22"/>
          <w:szCs w:val="22"/>
          <w:lang w:val="en-US"/>
        </w:rPr>
        <w:t xml:space="preserve"> </w:t>
      </w:r>
      <w:r w:rsidRPr="00F87D1E">
        <w:rPr>
          <w:rFonts w:ascii="Sylfaen" w:hAnsi="Sylfaen"/>
          <w:b/>
          <w:bCs/>
          <w:sz w:val="22"/>
          <w:szCs w:val="22"/>
          <w:lang w:val="en-US"/>
        </w:rPr>
        <w:t>:</w:t>
      </w:r>
      <w:proofErr w:type="gramEnd"/>
      <w:r>
        <w:rPr>
          <w:rFonts w:ascii="Sylfaen" w:hAnsi="Sylfaen"/>
          <w:b/>
          <w:bCs/>
          <w:sz w:val="22"/>
          <w:szCs w:val="22"/>
          <w:lang w:val="en-US"/>
        </w:rPr>
        <w:t xml:space="preserve"> </w:t>
      </w:r>
      <w:r w:rsidRPr="00F87D1E">
        <w:rPr>
          <w:rFonts w:ascii="Sylfaen" w:hAnsi="Sylfaen"/>
          <w:b/>
          <w:bCs/>
          <w:sz w:val="22"/>
          <w:szCs w:val="22"/>
          <w:lang w:val="en-US"/>
        </w:rPr>
        <w:t>Impact of Professional Development Activities on Career Advancement and Job Responsibilities</w:t>
      </w:r>
    </w:p>
    <w:p w14:paraId="14AEBB31" w14:textId="77777777" w:rsidR="00F87D1E" w:rsidRPr="00F87D1E" w:rsidRDefault="00F87D1E" w:rsidP="00F87D1E">
      <w:pPr>
        <w:spacing w:before="240" w:after="120"/>
        <w:jc w:val="center"/>
        <w:rPr>
          <w:rFonts w:ascii="Sylfaen" w:hAnsi="Sylfaen"/>
          <w:b/>
          <w:caps/>
          <w:sz w:val="22"/>
          <w:szCs w:val="22"/>
        </w:rPr>
      </w:pPr>
      <w:r w:rsidRPr="00F87D1E">
        <w:rPr>
          <w:rFonts w:ascii="Sylfaen" w:hAnsi="Sylfaen"/>
          <w:b/>
          <w:caps/>
          <w:noProof/>
          <w:sz w:val="22"/>
          <w:szCs w:val="22"/>
          <w:lang w:val="en-US" w:eastAsia="en-US"/>
        </w:rPr>
        <w:drawing>
          <wp:inline distT="0" distB="0" distL="0" distR="0" wp14:anchorId="4AB6EAC2" wp14:editId="5D6882D9">
            <wp:extent cx="3203296" cy="3973266"/>
            <wp:effectExtent l="0" t="0" r="0" b="0"/>
            <wp:docPr id="22" name="Picture 22" descr="C:\Users\Acer\Desktop\ilovepdf_pages-to-jpg\ilovepdf_pages-to-jpg (1)\Table 4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ilovepdf_pages-to-jpg\ilovepdf_pages-to-jpg (1)\Table 4_page-000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697" t="7945" r="10259" b="15297"/>
                    <a:stretch/>
                  </pic:blipFill>
                  <pic:spPr bwMode="auto">
                    <a:xfrm>
                      <a:off x="0" y="0"/>
                      <a:ext cx="3222366" cy="3996920"/>
                    </a:xfrm>
                    <a:prstGeom prst="rect">
                      <a:avLst/>
                    </a:prstGeom>
                    <a:noFill/>
                    <a:ln>
                      <a:noFill/>
                    </a:ln>
                    <a:extLst>
                      <a:ext uri="{53640926-AAD7-44D8-BBD7-CCE9431645EC}">
                        <a14:shadowObscured xmlns:a14="http://schemas.microsoft.com/office/drawing/2010/main"/>
                      </a:ext>
                    </a:extLst>
                  </pic:spPr>
                </pic:pic>
              </a:graphicData>
            </a:graphic>
          </wp:inline>
        </w:drawing>
      </w:r>
    </w:p>
    <w:p w14:paraId="0E4FF410" w14:textId="77777777" w:rsidR="00F87D1E" w:rsidRPr="00F87D1E" w:rsidRDefault="00F87D1E" w:rsidP="00F87D1E">
      <w:pPr>
        <w:spacing w:before="240" w:after="120"/>
        <w:jc w:val="both"/>
        <w:rPr>
          <w:rFonts w:ascii="Sylfaen" w:hAnsi="Sylfaen"/>
          <w:sz w:val="22"/>
          <w:szCs w:val="22"/>
          <w:lang w:val="en-US"/>
        </w:rPr>
      </w:pPr>
      <w:r w:rsidRPr="00F87D1E">
        <w:rPr>
          <w:rFonts w:ascii="Sylfaen" w:hAnsi="Sylfaen"/>
          <w:sz w:val="22"/>
          <w:szCs w:val="22"/>
          <w:lang w:val="en-US"/>
        </w:rPr>
        <w:t xml:space="preserve">This table explores the perceived effects of professional development on various dimensions of teachers' careers. Most respondents acknowledged that training had a moderate impact on their roles, particularly regarding knowledge enhancement and new responsibilities. However, 62.5% did not participate in additional training beyond what was mandated, which may limit the scope of professional growth. When asked whether training influenced career advancement, public recognition, or changes in work responsibilities, around 41.67% perceived a moderate impact, yet a majority still saw no change across categories such as monetary rewards, professional development opportunities, or job attractiveness. This data suggests that while teachers recognize the potential of development programs to influence their roles, the actual systemic translation of </w:t>
      </w:r>
      <w:r w:rsidRPr="00F87D1E">
        <w:rPr>
          <w:rFonts w:ascii="Sylfaen" w:hAnsi="Sylfaen"/>
          <w:sz w:val="22"/>
          <w:szCs w:val="22"/>
          <w:lang w:val="en-US"/>
        </w:rPr>
        <w:t>these programs into tangible career progression remains limited. Institutional frameworks must, therefore, more effectively integrate training outcomes into promotional and evaluative structures.</w:t>
      </w:r>
    </w:p>
    <w:p w14:paraId="7B8B24B1" w14:textId="34622EFE" w:rsidR="00F87D1E" w:rsidRPr="00F87D1E" w:rsidRDefault="00F87D1E" w:rsidP="00F87D1E">
      <w:pPr>
        <w:spacing w:before="240" w:after="120"/>
        <w:jc w:val="center"/>
        <w:rPr>
          <w:rFonts w:ascii="Sylfaen" w:hAnsi="Sylfaen"/>
          <w:b/>
          <w:bCs/>
          <w:sz w:val="22"/>
          <w:szCs w:val="22"/>
          <w:lang w:val="en-US"/>
        </w:rPr>
      </w:pPr>
      <w:r w:rsidRPr="00F87D1E">
        <w:rPr>
          <w:rFonts w:ascii="Sylfaen" w:hAnsi="Sylfaen"/>
          <w:b/>
          <w:bCs/>
          <w:sz w:val="22"/>
          <w:szCs w:val="22"/>
          <w:lang w:val="en-US"/>
        </w:rPr>
        <w:t xml:space="preserve">Table </w:t>
      </w:r>
      <w:proofErr w:type="gramStart"/>
      <w:r w:rsidRPr="00F87D1E">
        <w:rPr>
          <w:rFonts w:ascii="Sylfaen" w:hAnsi="Sylfaen"/>
          <w:b/>
          <w:bCs/>
          <w:sz w:val="22"/>
          <w:szCs w:val="22"/>
          <w:lang w:val="en-US"/>
        </w:rPr>
        <w:t>5</w:t>
      </w:r>
      <w:r>
        <w:rPr>
          <w:rFonts w:ascii="Sylfaen" w:hAnsi="Sylfaen"/>
          <w:b/>
          <w:bCs/>
          <w:sz w:val="22"/>
          <w:szCs w:val="22"/>
          <w:lang w:val="en-US"/>
        </w:rPr>
        <w:t xml:space="preserve"> </w:t>
      </w:r>
      <w:r w:rsidRPr="00F87D1E">
        <w:rPr>
          <w:rFonts w:ascii="Sylfaen" w:hAnsi="Sylfaen"/>
          <w:b/>
          <w:bCs/>
          <w:sz w:val="22"/>
          <w:szCs w:val="22"/>
          <w:lang w:val="en-US"/>
        </w:rPr>
        <w:t>:</w:t>
      </w:r>
      <w:proofErr w:type="gramEnd"/>
      <w:r>
        <w:rPr>
          <w:rFonts w:ascii="Sylfaen" w:hAnsi="Sylfaen"/>
          <w:b/>
          <w:bCs/>
          <w:sz w:val="22"/>
          <w:szCs w:val="22"/>
          <w:lang w:val="en-US"/>
        </w:rPr>
        <w:t xml:space="preserve"> </w:t>
      </w:r>
      <w:r w:rsidRPr="00F87D1E">
        <w:rPr>
          <w:rFonts w:ascii="Sylfaen" w:hAnsi="Sylfaen"/>
          <w:b/>
          <w:bCs/>
          <w:sz w:val="22"/>
          <w:szCs w:val="22"/>
          <w:lang w:val="en-US"/>
        </w:rPr>
        <w:t>Teacher Perceptions on Fairness and Effectiveness of Appraisal Systems in Government-Aided Schools</w:t>
      </w:r>
    </w:p>
    <w:p w14:paraId="240B9629" w14:textId="77777777" w:rsidR="00F87D1E" w:rsidRPr="00F87D1E" w:rsidRDefault="00F87D1E" w:rsidP="00F87D1E">
      <w:pPr>
        <w:spacing w:before="240" w:after="120"/>
        <w:jc w:val="center"/>
        <w:rPr>
          <w:rFonts w:ascii="Sylfaen" w:hAnsi="Sylfaen"/>
          <w:b/>
          <w:caps/>
          <w:sz w:val="22"/>
          <w:szCs w:val="22"/>
        </w:rPr>
      </w:pPr>
      <w:r w:rsidRPr="00F87D1E">
        <w:rPr>
          <w:rFonts w:ascii="Sylfaen" w:hAnsi="Sylfaen"/>
          <w:b/>
          <w:caps/>
          <w:noProof/>
          <w:sz w:val="22"/>
          <w:szCs w:val="22"/>
          <w:lang w:val="en-US" w:eastAsia="en-US"/>
        </w:rPr>
        <w:drawing>
          <wp:inline distT="0" distB="0" distL="0" distR="0" wp14:anchorId="7C8D6D2A" wp14:editId="79E2DE7C">
            <wp:extent cx="3135231" cy="4133600"/>
            <wp:effectExtent l="0" t="0" r="0" b="0"/>
            <wp:docPr id="934202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202362" name=""/>
                    <pic:cNvPicPr/>
                  </pic:nvPicPr>
                  <pic:blipFill>
                    <a:blip r:embed="rId16"/>
                    <a:stretch>
                      <a:fillRect/>
                    </a:stretch>
                  </pic:blipFill>
                  <pic:spPr>
                    <a:xfrm>
                      <a:off x="0" y="0"/>
                      <a:ext cx="3151522" cy="4155078"/>
                    </a:xfrm>
                    <a:prstGeom prst="rect">
                      <a:avLst/>
                    </a:prstGeom>
                  </pic:spPr>
                </pic:pic>
              </a:graphicData>
            </a:graphic>
          </wp:inline>
        </w:drawing>
      </w:r>
    </w:p>
    <w:p w14:paraId="6B8C601C" w14:textId="77777777" w:rsidR="00F87D1E" w:rsidRPr="00F87D1E" w:rsidRDefault="00F87D1E" w:rsidP="00F87D1E">
      <w:pPr>
        <w:spacing w:before="240" w:after="120"/>
        <w:jc w:val="both"/>
        <w:rPr>
          <w:rFonts w:ascii="Sylfaen" w:hAnsi="Sylfaen"/>
          <w:sz w:val="22"/>
          <w:szCs w:val="22"/>
          <w:lang w:val="en-US"/>
        </w:rPr>
      </w:pPr>
      <w:r w:rsidRPr="00F87D1E">
        <w:rPr>
          <w:rFonts w:ascii="Sylfaen" w:hAnsi="Sylfaen"/>
          <w:sz w:val="22"/>
          <w:szCs w:val="22"/>
          <w:lang w:val="en-US"/>
        </w:rPr>
        <w:t xml:space="preserve">Table 5 offers insight into how teachers perceive the appraisal and feedback systems in their schools. A full 100% of teachers agreed that the appraisal they received was fair and helpful for their development—an encouraging sign that evaluation mechanisms are viewed as constructive rather than punitive. However, only 20.83% believed that these evaluations led to improvements in job satisfaction, with none acknowledging gains in job security. This disconnect suggests that while teachers value feedback for personal or pedagogical growth, it does not necessarily correlate with their broader professional experience or sense of stability. It highlights a gap between performance evaluations and actionable institutional responses, such as promotions, benefits, or leadership opportunities. Bridging this gap requires aligning </w:t>
      </w:r>
      <w:r w:rsidRPr="00F87D1E">
        <w:rPr>
          <w:rFonts w:ascii="Sylfaen" w:hAnsi="Sylfaen"/>
          <w:sz w:val="22"/>
          <w:szCs w:val="22"/>
          <w:lang w:val="en-US"/>
        </w:rPr>
        <w:lastRenderedPageBreak/>
        <w:t>appraisal systems more closely with career development pathways, so that feedback becomes a lever not just for growth but for retention and advancement.</w:t>
      </w:r>
    </w:p>
    <w:p w14:paraId="2E6B4640" w14:textId="595AB8F0" w:rsidR="00F87D1E" w:rsidRPr="00F87D1E" w:rsidRDefault="00F87D1E" w:rsidP="00F87D1E">
      <w:pPr>
        <w:spacing w:before="240" w:after="120"/>
        <w:jc w:val="center"/>
        <w:rPr>
          <w:rFonts w:ascii="Sylfaen" w:hAnsi="Sylfaen"/>
          <w:b/>
          <w:bCs/>
          <w:sz w:val="22"/>
          <w:szCs w:val="22"/>
          <w:lang w:val="en-US"/>
        </w:rPr>
      </w:pPr>
      <w:r w:rsidRPr="00F87D1E">
        <w:rPr>
          <w:rFonts w:ascii="Sylfaen" w:hAnsi="Sylfaen"/>
          <w:b/>
          <w:bCs/>
          <w:sz w:val="22"/>
          <w:szCs w:val="22"/>
          <w:lang w:val="en-US"/>
        </w:rPr>
        <w:t xml:space="preserve">Table </w:t>
      </w:r>
      <w:proofErr w:type="gramStart"/>
      <w:r w:rsidRPr="00F87D1E">
        <w:rPr>
          <w:rFonts w:ascii="Sylfaen" w:hAnsi="Sylfaen"/>
          <w:b/>
          <w:bCs/>
          <w:sz w:val="22"/>
          <w:szCs w:val="22"/>
          <w:lang w:val="en-US"/>
        </w:rPr>
        <w:t>6</w:t>
      </w:r>
      <w:r>
        <w:rPr>
          <w:rFonts w:ascii="Sylfaen" w:hAnsi="Sylfaen"/>
          <w:b/>
          <w:bCs/>
          <w:sz w:val="22"/>
          <w:szCs w:val="22"/>
          <w:lang w:val="en-US"/>
        </w:rPr>
        <w:t xml:space="preserve"> </w:t>
      </w:r>
      <w:r w:rsidRPr="00F87D1E">
        <w:rPr>
          <w:rFonts w:ascii="Sylfaen" w:hAnsi="Sylfaen"/>
          <w:b/>
          <w:bCs/>
          <w:sz w:val="22"/>
          <w:szCs w:val="22"/>
          <w:lang w:val="en-US"/>
        </w:rPr>
        <w:t>:</w:t>
      </w:r>
      <w:proofErr w:type="gramEnd"/>
      <w:r>
        <w:rPr>
          <w:rFonts w:ascii="Sylfaen" w:hAnsi="Sylfaen"/>
          <w:b/>
          <w:bCs/>
          <w:sz w:val="22"/>
          <w:szCs w:val="22"/>
          <w:lang w:val="en-US"/>
        </w:rPr>
        <w:t xml:space="preserve"> </w:t>
      </w:r>
      <w:r w:rsidRPr="00F87D1E">
        <w:rPr>
          <w:rFonts w:ascii="Sylfaen" w:hAnsi="Sylfaen"/>
          <w:b/>
          <w:bCs/>
          <w:sz w:val="22"/>
          <w:szCs w:val="22"/>
          <w:lang w:val="en-US"/>
        </w:rPr>
        <w:t>Administrative Feedback, Reward Systems, and Teacher Engagement in School Vision Activities</w:t>
      </w:r>
    </w:p>
    <w:p w14:paraId="6472DDD1" w14:textId="77777777" w:rsidR="00F87D1E" w:rsidRPr="00F87D1E" w:rsidRDefault="00F87D1E" w:rsidP="00F87D1E">
      <w:pPr>
        <w:spacing w:before="240" w:after="120"/>
        <w:jc w:val="center"/>
        <w:rPr>
          <w:rFonts w:ascii="Sylfaen" w:hAnsi="Sylfaen"/>
          <w:b/>
          <w:caps/>
          <w:sz w:val="22"/>
          <w:szCs w:val="22"/>
        </w:rPr>
      </w:pPr>
      <w:r w:rsidRPr="00F87D1E">
        <w:rPr>
          <w:rFonts w:ascii="Sylfaen" w:hAnsi="Sylfaen"/>
          <w:b/>
          <w:caps/>
          <w:noProof/>
          <w:sz w:val="22"/>
          <w:szCs w:val="22"/>
          <w:lang w:val="en-US" w:eastAsia="en-US"/>
        </w:rPr>
        <w:drawing>
          <wp:inline distT="0" distB="0" distL="0" distR="0" wp14:anchorId="54172803" wp14:editId="57150B8A">
            <wp:extent cx="3151442" cy="4167830"/>
            <wp:effectExtent l="0" t="0" r="0" b="0"/>
            <wp:docPr id="24" name="Picture 24" descr="C:\Users\Acer\Desktop\ilovepdf_pages-to-jpg\ilovepdf_pages-to-jpg (1)\Table 4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ilovepdf_pages-to-jpg\ilovepdf_pages-to-jpg (1)\Table 4_page-000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263" t="7721" r="9533" b="9253"/>
                    <a:stretch/>
                  </pic:blipFill>
                  <pic:spPr bwMode="auto">
                    <a:xfrm>
                      <a:off x="0" y="0"/>
                      <a:ext cx="3174520" cy="4198351"/>
                    </a:xfrm>
                    <a:prstGeom prst="rect">
                      <a:avLst/>
                    </a:prstGeom>
                    <a:noFill/>
                    <a:ln>
                      <a:noFill/>
                    </a:ln>
                    <a:extLst>
                      <a:ext uri="{53640926-AAD7-44D8-BBD7-CCE9431645EC}">
                        <a14:shadowObscured xmlns:a14="http://schemas.microsoft.com/office/drawing/2010/main"/>
                      </a:ext>
                    </a:extLst>
                  </pic:spPr>
                </pic:pic>
              </a:graphicData>
            </a:graphic>
          </wp:inline>
        </w:drawing>
      </w:r>
    </w:p>
    <w:p w14:paraId="25B4803B" w14:textId="77777777" w:rsidR="00F87D1E" w:rsidRPr="00F87D1E" w:rsidRDefault="00F87D1E" w:rsidP="00F87D1E">
      <w:pPr>
        <w:spacing w:after="160"/>
        <w:jc w:val="both"/>
        <w:rPr>
          <w:rFonts w:ascii="Sylfaen" w:hAnsi="Sylfaen"/>
          <w:sz w:val="22"/>
          <w:szCs w:val="22"/>
          <w:lang w:val="en-US"/>
        </w:rPr>
      </w:pPr>
      <w:r w:rsidRPr="00F87D1E">
        <w:rPr>
          <w:rFonts w:ascii="Sylfaen" w:hAnsi="Sylfaen"/>
          <w:sz w:val="22"/>
          <w:szCs w:val="22"/>
          <w:lang w:val="en-US"/>
        </w:rPr>
        <w:t xml:space="preserve">This final table investigates the role of school leadership in reward distribution, performance management, and fostering a culture of inclusion in decision-making. Teachers’ perceptions of leadership accountability reveal mixed responses. While 27.08% agreed that the principal actively manages monetary rewards for underperforming teachers, the majority (72.92%) disagreed, pointing to a possible leniency in performance enforcement. Notably, 100% disagreed that poor performance leads to dismissal, and 79.17% believed no formal criteria exist to judge teaching quality. Despite these concerns, 100% of respondents believed that their contribution supports pupil welfare and that their work brings personal fulfillment, reflecting strong intrinsic motivation. Additionally, teachers were unanimously engaged in regular staff meetings to discuss the school’s vision, indicating a collaborative institutional environment. This data </w:t>
      </w:r>
      <w:r w:rsidRPr="00F87D1E">
        <w:rPr>
          <w:rFonts w:ascii="Sylfaen" w:hAnsi="Sylfaen"/>
          <w:sz w:val="22"/>
          <w:szCs w:val="22"/>
          <w:lang w:val="en-US"/>
        </w:rPr>
        <w:t>emphasizes that while systems for accountability may be weak, teacher morale and commitment remain high—an asset that school leaders must leverage through transparent, equitable reward systems and more rigorous performance evaluation strategies.</w:t>
      </w:r>
    </w:p>
    <w:p w14:paraId="18A82117" w14:textId="77777777" w:rsidR="00F87D1E" w:rsidRPr="00F87D1E" w:rsidRDefault="00F87D1E" w:rsidP="00F87D1E">
      <w:pPr>
        <w:spacing w:before="240" w:after="120"/>
        <w:jc w:val="both"/>
        <w:rPr>
          <w:rFonts w:ascii="Sylfaen" w:hAnsi="Sylfaen"/>
          <w:b/>
          <w:bCs/>
          <w:sz w:val="22"/>
          <w:szCs w:val="22"/>
          <w:lang w:val="en-US"/>
        </w:rPr>
      </w:pPr>
      <w:r w:rsidRPr="00F87D1E">
        <w:rPr>
          <w:rFonts w:ascii="Sylfaen" w:hAnsi="Sylfaen"/>
          <w:b/>
          <w:bCs/>
          <w:sz w:val="22"/>
          <w:szCs w:val="22"/>
          <w:lang w:val="en-US"/>
        </w:rPr>
        <w:t>5. Discussion</w:t>
      </w:r>
    </w:p>
    <w:p w14:paraId="050A380A" w14:textId="77777777" w:rsidR="00F87D1E" w:rsidRPr="00F87D1E" w:rsidRDefault="00F87D1E" w:rsidP="00F87D1E">
      <w:pPr>
        <w:spacing w:before="240" w:after="120"/>
        <w:jc w:val="both"/>
        <w:rPr>
          <w:rFonts w:ascii="Sylfaen" w:hAnsi="Sylfaen"/>
          <w:sz w:val="22"/>
          <w:szCs w:val="22"/>
          <w:lang w:val="en-US"/>
        </w:rPr>
      </w:pPr>
      <w:r w:rsidRPr="00F87D1E">
        <w:rPr>
          <w:rFonts w:ascii="Sylfaen" w:hAnsi="Sylfaen"/>
          <w:sz w:val="22"/>
          <w:szCs w:val="22"/>
          <w:lang w:val="en-US"/>
        </w:rPr>
        <w:t>The present study offers a detailed exploration into the professional development practices and job satisfaction of government-aided school teachers in Valsad District, Gujarat. One of the most compelling insights is the apparent disconnect between widespread participation in professional development and its perceived utility in enhancing teachers' roles, recognition, or advancement. While all respondents acknowledged attending mandated training, only a minority believed it had a meaningful impact on their teaching performance or career trajectory. This observation echoes Hagedorn’s (2000) assertion that professional growth opportunities, to be effective, must align with personal and institutional goals, and must be embedded in systemic reward structures to influence long-term job satisfaction.</w:t>
      </w:r>
    </w:p>
    <w:p w14:paraId="74149273" w14:textId="77777777" w:rsidR="00F87D1E" w:rsidRPr="00F87D1E" w:rsidRDefault="00F87D1E" w:rsidP="00F87D1E">
      <w:pPr>
        <w:spacing w:before="240" w:after="120"/>
        <w:jc w:val="both"/>
        <w:rPr>
          <w:rFonts w:ascii="Sylfaen" w:hAnsi="Sylfaen"/>
          <w:sz w:val="22"/>
          <w:szCs w:val="22"/>
          <w:lang w:val="en-US"/>
        </w:rPr>
      </w:pPr>
      <w:r w:rsidRPr="00F87D1E">
        <w:rPr>
          <w:rFonts w:ascii="Sylfaen" w:hAnsi="Sylfaen"/>
          <w:sz w:val="22"/>
          <w:szCs w:val="22"/>
          <w:lang w:val="en-US"/>
        </w:rPr>
        <w:t xml:space="preserve">The fact that teachers reported moderate to low gains from professional development despite universal access highlights a common pitfall in top-down educational interventions. As noted by Perie and Baker (1997), development initiatives often fail when they are disconnected from actual classroom needs. Similarly, Liu and Onwuegbuzie (2012) emphasized that training rooted in administrative mandates rather than participatory learning models can lead to disengagement. In our study, 52% of teachers expressed uncertainty about the value of their training, reinforcing what </w:t>
      </w:r>
      <w:proofErr w:type="spellStart"/>
      <w:r w:rsidRPr="00F87D1E">
        <w:rPr>
          <w:rFonts w:ascii="Sylfaen" w:hAnsi="Sylfaen"/>
          <w:sz w:val="22"/>
          <w:szCs w:val="22"/>
          <w:lang w:val="en-US"/>
        </w:rPr>
        <w:t>Pithers</w:t>
      </w:r>
      <w:proofErr w:type="spellEnd"/>
      <w:r w:rsidRPr="00F87D1E">
        <w:rPr>
          <w:rFonts w:ascii="Sylfaen" w:hAnsi="Sylfaen"/>
          <w:sz w:val="22"/>
          <w:szCs w:val="22"/>
          <w:lang w:val="en-US"/>
        </w:rPr>
        <w:t xml:space="preserve"> and Soden (1998) identified as a mismatch between professional development delivery and real-world classroom challenges. This points to the need for contextualized, subject-specific, and practice-oriented training modules tailored to local school realities, especially in diverse regions like Valsad where school infrastructure and administrative models vary significantly.</w:t>
      </w:r>
    </w:p>
    <w:p w14:paraId="5443362B" w14:textId="77777777" w:rsidR="00F87D1E" w:rsidRPr="00F87D1E" w:rsidRDefault="00F87D1E" w:rsidP="00F87D1E">
      <w:pPr>
        <w:spacing w:before="240" w:after="120"/>
        <w:jc w:val="both"/>
        <w:rPr>
          <w:rFonts w:ascii="Sylfaen" w:hAnsi="Sylfaen"/>
          <w:sz w:val="22"/>
          <w:szCs w:val="22"/>
          <w:lang w:val="en-US"/>
        </w:rPr>
      </w:pPr>
      <w:r w:rsidRPr="00F87D1E">
        <w:rPr>
          <w:rFonts w:ascii="Sylfaen" w:hAnsi="Sylfaen"/>
          <w:sz w:val="22"/>
          <w:szCs w:val="22"/>
          <w:lang w:val="en-US"/>
        </w:rPr>
        <w:t xml:space="preserve">Another dimension explored in the study is teacher appraisal and feedback. It is encouraging that 100% of the respondents found their evaluations fair and professionally conducted. This supports findings by </w:t>
      </w:r>
      <w:r w:rsidRPr="00F87D1E">
        <w:rPr>
          <w:rFonts w:ascii="Sylfaen" w:hAnsi="Sylfaen"/>
          <w:sz w:val="22"/>
          <w:szCs w:val="22"/>
          <w:lang w:val="en-US"/>
        </w:rPr>
        <w:lastRenderedPageBreak/>
        <w:t>Johnson and Birkeland (2003) and Dinham and Scott (1998), who highlight that when appraisals are perceived as just and constructive, they can contribute to morale and motivation. However, the perceived lack of correlation between feedback and tangible benefits, such as promotions, bonuses, or enhanced job security, is a concern. As Ingersoll (2001) noted, performance evaluations that lack follow-through or institutional consequence often lose their meaning and can contribute to job stagnation.</w:t>
      </w:r>
    </w:p>
    <w:p w14:paraId="41B79829" w14:textId="77777777" w:rsidR="00F87D1E" w:rsidRPr="00F87D1E" w:rsidRDefault="00F87D1E" w:rsidP="00F87D1E">
      <w:pPr>
        <w:spacing w:before="240" w:after="120"/>
        <w:jc w:val="both"/>
        <w:rPr>
          <w:rFonts w:ascii="Sylfaen" w:hAnsi="Sylfaen"/>
          <w:sz w:val="22"/>
          <w:szCs w:val="22"/>
          <w:lang w:val="en-US"/>
        </w:rPr>
      </w:pPr>
      <w:r w:rsidRPr="00F87D1E">
        <w:rPr>
          <w:rFonts w:ascii="Sylfaen" w:hAnsi="Sylfaen"/>
          <w:sz w:val="22"/>
          <w:szCs w:val="22"/>
          <w:lang w:val="en-US"/>
        </w:rPr>
        <w:t xml:space="preserve">This issue becomes even more pressing when viewed through the lens of Herzberg’s (1966) motivation-hygiene theory. While positive appraisals and training experiences fall under the category of motivators, their failure to translate into rewards or opportunities places them into an ambiguous space that may ultimately lead to dissatisfaction. Evans (1998) also reminds us that recognition without systemic backing can lead to superficial engagement. Teachers in the study expressed skepticism regarding whether evaluations and training improved their salary, responsibilities, or upward mobility—a pattern consistent with </w:t>
      </w:r>
      <w:proofErr w:type="spellStart"/>
      <w:r w:rsidRPr="00F87D1E">
        <w:rPr>
          <w:rFonts w:ascii="Sylfaen" w:hAnsi="Sylfaen"/>
          <w:sz w:val="22"/>
          <w:szCs w:val="22"/>
          <w:lang w:val="en-US"/>
        </w:rPr>
        <w:t>Skaalvik</w:t>
      </w:r>
      <w:proofErr w:type="spellEnd"/>
      <w:r w:rsidRPr="00F87D1E">
        <w:rPr>
          <w:rFonts w:ascii="Sylfaen" w:hAnsi="Sylfaen"/>
          <w:sz w:val="22"/>
          <w:szCs w:val="22"/>
          <w:lang w:val="en-US"/>
        </w:rPr>
        <w:t xml:space="preserve"> and </w:t>
      </w:r>
      <w:proofErr w:type="spellStart"/>
      <w:r w:rsidRPr="00F87D1E">
        <w:rPr>
          <w:rFonts w:ascii="Sylfaen" w:hAnsi="Sylfaen"/>
          <w:sz w:val="22"/>
          <w:szCs w:val="22"/>
          <w:lang w:val="en-US"/>
        </w:rPr>
        <w:t>Skaalvik</w:t>
      </w:r>
      <w:proofErr w:type="spellEnd"/>
      <w:r w:rsidRPr="00F87D1E">
        <w:rPr>
          <w:rFonts w:ascii="Sylfaen" w:hAnsi="Sylfaen"/>
          <w:sz w:val="22"/>
          <w:szCs w:val="22"/>
          <w:lang w:val="en-US"/>
        </w:rPr>
        <w:t xml:space="preserve"> (2011), who observed that absence of institutional responsiveness can diminish intrinsic motivation over time. Interestingly, despite these shortcomings, the teachers surveyed demonstrated high</w:t>
      </w:r>
      <w:r w:rsidRPr="00F87D1E">
        <w:rPr>
          <w:rFonts w:ascii="Sylfaen" w:hAnsi="Sylfaen"/>
          <w:sz w:val="22"/>
          <w:szCs w:val="22"/>
          <w:lang w:val="en-US"/>
        </w:rPr>
        <w:t xml:space="preserve"> </w:t>
      </w:r>
      <w:r w:rsidRPr="00F87D1E">
        <w:rPr>
          <w:rFonts w:ascii="Sylfaen" w:hAnsi="Sylfaen"/>
          <w:sz w:val="22"/>
          <w:szCs w:val="22"/>
          <w:lang w:val="en-US"/>
        </w:rPr>
        <w:t xml:space="preserve">levels of intrinsic motivation and commitment. Every respondent reported finding meaning in their work and supporting their institution’s vision. This aligns with Caprara et al. (2003), who emphasized that strong self-efficacy and a sense of purpose can act as protective factors against systemic deficiencies. Similarly, </w:t>
      </w:r>
      <w:proofErr w:type="spellStart"/>
      <w:r w:rsidRPr="00F87D1E">
        <w:rPr>
          <w:rFonts w:ascii="Sylfaen" w:hAnsi="Sylfaen"/>
          <w:sz w:val="22"/>
          <w:szCs w:val="22"/>
          <w:lang w:val="en-US"/>
        </w:rPr>
        <w:t>Zembylas</w:t>
      </w:r>
      <w:proofErr w:type="spellEnd"/>
      <w:r w:rsidRPr="00F87D1E">
        <w:rPr>
          <w:rFonts w:ascii="Sylfaen" w:hAnsi="Sylfaen"/>
          <w:sz w:val="22"/>
          <w:szCs w:val="22"/>
          <w:lang w:val="en-US"/>
        </w:rPr>
        <w:t xml:space="preserve"> and Papanastasiou (2004) noted that while salary and advancement are critical, the internal satisfaction derived from contributing to student development is a significant driver of teacher retention. However, as Judge and Klinger (2008) argue, relying solely on intrinsic motivation without structural reinforcement is unsustainable and may lead to burnout—particularly in the absence of external incentives or institutional support. The study also raises important considerations regarding workload distribution and time management. The findings show that while most teachers devote significant time to teaching, very little is allocated for planning, administrative tasks, or collaborative </w:t>
      </w:r>
      <w:r w:rsidRPr="00F87D1E">
        <w:rPr>
          <w:rFonts w:ascii="Sylfaen" w:hAnsi="Sylfaen"/>
          <w:sz w:val="22"/>
          <w:szCs w:val="22"/>
          <w:lang w:val="en-US"/>
        </w:rPr>
        <w:t>activities. This raises concerns about whether sufficient attention is being paid to holistic teaching practices that involve curriculum planning, reflective work, or inter-departmental cooperation. Ma and MacMillan (1999) caution that excessive instructional loads, especially when not balanced with support time, can lead to diminished effectiveness and job satisfaction. Schaufeli and Bakker (2004) further argue that work engagement is best sustained when educators are granted autonomy and time to innovate, plan, and reflect.</w:t>
      </w:r>
    </w:p>
    <w:p w14:paraId="3B554040" w14:textId="77777777" w:rsidR="00F87D1E" w:rsidRPr="00F87D1E" w:rsidRDefault="00F87D1E" w:rsidP="00F87D1E">
      <w:pPr>
        <w:spacing w:before="240" w:after="120"/>
        <w:jc w:val="both"/>
        <w:rPr>
          <w:rFonts w:ascii="Sylfaen" w:hAnsi="Sylfaen"/>
          <w:sz w:val="22"/>
          <w:szCs w:val="22"/>
          <w:lang w:val="en-US"/>
        </w:rPr>
      </w:pPr>
      <w:r w:rsidRPr="00F87D1E">
        <w:rPr>
          <w:rFonts w:ascii="Sylfaen" w:hAnsi="Sylfaen"/>
          <w:sz w:val="22"/>
          <w:szCs w:val="22"/>
          <w:lang w:val="en-US"/>
        </w:rPr>
        <w:t xml:space="preserve">Furthermore, while the study shows that institutional support for professional development is structurally present—with all training conducted within work hours and fully funded—this support does not necessarily translate into perceived career growth. This aligns with OECD (2005) findings that policy-level support does not guarantee impact unless training is aligned with real needs and followed up with incentives. Day and Gu (2009) similarly emphasize that experienced teachers thrive when they feel their experience is recognized and rewarded through roles of leadership, mentorship, or curriculum planning. In terms of leadership practices, teachers reported a lack of clear criteria to judge teaching performance and noted that underperformance rarely led to dismissal or constructive remediation. Only 27% said their principal managed monetary rewards for performance. This raises questions about accountability and the role of school leadership in shaping a culture of merit. As </w:t>
      </w:r>
      <w:proofErr w:type="spellStart"/>
      <w:r w:rsidRPr="00F87D1E">
        <w:rPr>
          <w:rFonts w:ascii="Sylfaen" w:hAnsi="Sylfaen"/>
          <w:sz w:val="22"/>
          <w:szCs w:val="22"/>
          <w:lang w:val="en-US"/>
        </w:rPr>
        <w:t>Leithwood</w:t>
      </w:r>
      <w:proofErr w:type="spellEnd"/>
      <w:r w:rsidRPr="00F87D1E">
        <w:rPr>
          <w:rFonts w:ascii="Sylfaen" w:hAnsi="Sylfaen"/>
          <w:sz w:val="22"/>
          <w:szCs w:val="22"/>
          <w:lang w:val="en-US"/>
        </w:rPr>
        <w:t xml:space="preserve"> and Jantzi (2006) explain, transformational school leadership can significantly impact teacher morale and student outcomes, but this requires transparent, performance-linked mechanisms that recognize effort and excellence. Finally, the overall morale and commitment of the teachers are noteworthy. Despite the systemic and structural gaps identified, the staff remained highly engaged, regularly contributing to institutional goals, attending meetings, and collaborating on school development plans. This resilience and commitment underscore Alam and Farid’s (2011) point that teachers are often internally driven to support student outcomes, even in less-than-ideal conditions. However, to retain such teachers and prevent burnout, the system must do </w:t>
      </w:r>
      <w:r w:rsidRPr="00F87D1E">
        <w:rPr>
          <w:rFonts w:ascii="Sylfaen" w:hAnsi="Sylfaen"/>
          <w:sz w:val="22"/>
          <w:szCs w:val="22"/>
          <w:lang w:val="en-US"/>
        </w:rPr>
        <w:lastRenderedPageBreak/>
        <w:t>more to convert intrinsic commitment into extrinsic recognition and opportunity.</w:t>
      </w:r>
    </w:p>
    <w:p w14:paraId="508EAB8B" w14:textId="77777777" w:rsidR="00F87D1E" w:rsidRPr="00F87D1E" w:rsidRDefault="00F87D1E" w:rsidP="00F87D1E">
      <w:pPr>
        <w:spacing w:before="240" w:after="120"/>
        <w:jc w:val="both"/>
        <w:rPr>
          <w:rFonts w:ascii="Sylfaen" w:hAnsi="Sylfaen"/>
          <w:b/>
          <w:bCs/>
          <w:sz w:val="22"/>
          <w:szCs w:val="22"/>
          <w:lang w:val="en-US"/>
        </w:rPr>
      </w:pPr>
      <w:r w:rsidRPr="00F87D1E">
        <w:rPr>
          <w:rFonts w:ascii="Sylfaen" w:hAnsi="Sylfaen"/>
          <w:b/>
          <w:bCs/>
          <w:sz w:val="22"/>
          <w:szCs w:val="22"/>
          <w:lang w:val="en-US"/>
        </w:rPr>
        <w:t>6. Conclusion</w:t>
      </w:r>
    </w:p>
    <w:p w14:paraId="7B2A4F1C" w14:textId="0C57DA9A" w:rsidR="00F87D1E" w:rsidRPr="00F87D1E" w:rsidRDefault="00F87D1E" w:rsidP="00F87D1E">
      <w:pPr>
        <w:tabs>
          <w:tab w:val="left" w:pos="1134"/>
        </w:tabs>
        <w:jc w:val="both"/>
        <w:rPr>
          <w:rFonts w:ascii="Sylfaen" w:hAnsi="Sylfaen"/>
          <w:sz w:val="22"/>
          <w:szCs w:val="22"/>
          <w:lang w:val="en-US"/>
        </w:rPr>
      </w:pPr>
      <w:r w:rsidRPr="00F87D1E">
        <w:rPr>
          <w:rFonts w:ascii="Sylfaen" w:hAnsi="Sylfaen"/>
          <w:sz w:val="22"/>
          <w:szCs w:val="22"/>
          <w:lang w:val="en-US"/>
        </w:rPr>
        <w:t>This study provides valuable insights into the professional development landscape and job satisfaction of government-aided school teachers in the Valsad District, Gujarat. Despite the strong structural presence of institutional support—such as in-service training during school hours, full financial backing for development programs, and regular teacher appraisals—teachers perceive a limited impact of these efforts on their professional growth, salary progression, or job security. The disconnect between participation and tangible outcomes, highlighted by the majority of respondents, suggests the need for more personalized, relevant, and actionable development models. Teachers consistently reported a lack of systemic recognition or rewards following appraisals, raising concerns about the efficacy of feedback mechanisms and their alignment with performance-based incentives. Nonetheless, the data also reveal a workforce deeply committed to their roles, driven by intrinsic motivation, and engaged in collaborative institutional goals—qualities that offer a strong foundation for meaningful reform. To sustain this commitment and prevent potential burnout, educational stakeholders must bridge the existing gaps by strengthening the linkage between training participation, appraisal results, and career advancement opportunities. Recommended strategies include designing localized, subject-relevant training modules, introducing performance-linked rewards, and ensuring appraisal outcomes feed directly into teacher promotion pipelines. Only by connecting professional development with real and measurable institutional benefits can job satisfaction be enhanced in a way that not only retains dedicated teachers but also elevates the overall quality of education in government-aided schools.</w:t>
      </w:r>
    </w:p>
    <w:p w14:paraId="67A757AF" w14:textId="77777777" w:rsidR="00F87D1E" w:rsidRPr="00F87D1E" w:rsidRDefault="00F87D1E" w:rsidP="00F87D1E">
      <w:pPr>
        <w:spacing w:before="240" w:after="120"/>
        <w:jc w:val="both"/>
        <w:rPr>
          <w:rFonts w:ascii="Sylfaen" w:hAnsi="Sylfaen"/>
          <w:b/>
          <w:bCs/>
          <w:sz w:val="22"/>
          <w:szCs w:val="22"/>
          <w:lang w:val="en-US"/>
        </w:rPr>
      </w:pPr>
      <w:r w:rsidRPr="00F87D1E">
        <w:rPr>
          <w:rFonts w:ascii="Sylfaen" w:hAnsi="Sylfaen"/>
          <w:b/>
          <w:bCs/>
          <w:sz w:val="22"/>
          <w:szCs w:val="22"/>
          <w:lang w:val="en-US"/>
        </w:rPr>
        <w:t xml:space="preserve">References </w:t>
      </w:r>
    </w:p>
    <w:p w14:paraId="1C74228A" w14:textId="77777777" w:rsidR="00F87D1E" w:rsidRPr="00F87D1E" w:rsidRDefault="00F87D1E" w:rsidP="00F87D1E">
      <w:pPr>
        <w:tabs>
          <w:tab w:val="left" w:pos="1134"/>
        </w:tabs>
        <w:jc w:val="both"/>
        <w:rPr>
          <w:rFonts w:ascii="Sylfaen" w:hAnsi="Sylfaen"/>
          <w:bCs/>
          <w:sz w:val="22"/>
          <w:szCs w:val="22"/>
        </w:rPr>
      </w:pPr>
    </w:p>
    <w:p w14:paraId="24CE8B13" w14:textId="5A2C0B5C" w:rsidR="00F87D1E" w:rsidRPr="00F87D1E" w:rsidRDefault="00F87D1E" w:rsidP="00F87D1E">
      <w:pPr>
        <w:pStyle w:val="ListParagraph"/>
        <w:numPr>
          <w:ilvl w:val="0"/>
          <w:numId w:val="28"/>
        </w:numPr>
        <w:spacing w:line="240" w:lineRule="auto"/>
        <w:ind w:left="567" w:hanging="567"/>
        <w:jc w:val="both"/>
        <w:rPr>
          <w:rFonts w:ascii="Sylfaen" w:hAnsi="Sylfaen"/>
          <w:bCs/>
          <w:sz w:val="19"/>
          <w:szCs w:val="19"/>
        </w:rPr>
      </w:pPr>
      <w:r w:rsidRPr="00F87D1E">
        <w:rPr>
          <w:rFonts w:ascii="Sylfaen" w:hAnsi="Sylfaen"/>
          <w:bCs/>
          <w:sz w:val="19"/>
          <w:szCs w:val="19"/>
        </w:rPr>
        <w:t>Alam, M. T., &amp; Farid, S. (2011). Factors affecting teachers’ motivation. International Journal of Business and Social Science, 2(1), 298–304.</w:t>
      </w:r>
    </w:p>
    <w:p w14:paraId="22BA1F29" w14:textId="77777777" w:rsidR="00F87D1E" w:rsidRPr="00F87D1E" w:rsidRDefault="00F87D1E" w:rsidP="00F87D1E">
      <w:pPr>
        <w:pStyle w:val="ListParagraph"/>
        <w:numPr>
          <w:ilvl w:val="0"/>
          <w:numId w:val="28"/>
        </w:numPr>
        <w:spacing w:line="240" w:lineRule="auto"/>
        <w:ind w:left="567" w:hanging="567"/>
        <w:jc w:val="both"/>
        <w:rPr>
          <w:rFonts w:ascii="Sylfaen" w:hAnsi="Sylfaen"/>
          <w:bCs/>
          <w:sz w:val="19"/>
          <w:szCs w:val="19"/>
        </w:rPr>
      </w:pPr>
      <w:r w:rsidRPr="00F87D1E">
        <w:rPr>
          <w:rFonts w:ascii="Sylfaen" w:hAnsi="Sylfaen"/>
          <w:bCs/>
          <w:sz w:val="19"/>
          <w:szCs w:val="19"/>
        </w:rPr>
        <w:t xml:space="preserve">Caprara, G. V., </w:t>
      </w:r>
      <w:proofErr w:type="spellStart"/>
      <w:r w:rsidRPr="00F87D1E">
        <w:rPr>
          <w:rFonts w:ascii="Sylfaen" w:hAnsi="Sylfaen"/>
          <w:bCs/>
          <w:sz w:val="19"/>
          <w:szCs w:val="19"/>
        </w:rPr>
        <w:t>Barbaranelli</w:t>
      </w:r>
      <w:proofErr w:type="spellEnd"/>
      <w:r w:rsidRPr="00F87D1E">
        <w:rPr>
          <w:rFonts w:ascii="Sylfaen" w:hAnsi="Sylfaen"/>
          <w:bCs/>
          <w:sz w:val="19"/>
          <w:szCs w:val="19"/>
        </w:rPr>
        <w:t xml:space="preserve">, C., Borgogni, L., &amp; </w:t>
      </w:r>
      <w:proofErr w:type="spellStart"/>
      <w:r w:rsidRPr="00F87D1E">
        <w:rPr>
          <w:rFonts w:ascii="Sylfaen" w:hAnsi="Sylfaen"/>
          <w:bCs/>
          <w:sz w:val="19"/>
          <w:szCs w:val="19"/>
        </w:rPr>
        <w:t>Steca</w:t>
      </w:r>
      <w:proofErr w:type="spellEnd"/>
      <w:r w:rsidRPr="00F87D1E">
        <w:rPr>
          <w:rFonts w:ascii="Sylfaen" w:hAnsi="Sylfaen"/>
          <w:bCs/>
          <w:sz w:val="19"/>
          <w:szCs w:val="19"/>
        </w:rPr>
        <w:t xml:space="preserve">, P. (2003). Efficacy beliefs as determinants of teachers’ </w:t>
      </w:r>
      <w:r w:rsidRPr="00F87D1E">
        <w:rPr>
          <w:rFonts w:ascii="Sylfaen" w:hAnsi="Sylfaen"/>
          <w:bCs/>
          <w:sz w:val="19"/>
          <w:szCs w:val="19"/>
        </w:rPr>
        <w:t>job satisfaction. Journal of Educational Psychology, 95(4), 821–832.</w:t>
      </w:r>
    </w:p>
    <w:p w14:paraId="594A37C4" w14:textId="77777777" w:rsidR="00F87D1E" w:rsidRPr="00F87D1E" w:rsidRDefault="00F87D1E" w:rsidP="00F87D1E">
      <w:pPr>
        <w:pStyle w:val="ListParagraph"/>
        <w:numPr>
          <w:ilvl w:val="0"/>
          <w:numId w:val="28"/>
        </w:numPr>
        <w:spacing w:line="240" w:lineRule="auto"/>
        <w:ind w:left="567" w:hanging="567"/>
        <w:jc w:val="both"/>
        <w:rPr>
          <w:rFonts w:ascii="Sylfaen" w:hAnsi="Sylfaen"/>
          <w:bCs/>
          <w:sz w:val="19"/>
          <w:szCs w:val="19"/>
        </w:rPr>
      </w:pPr>
      <w:r w:rsidRPr="00F87D1E">
        <w:rPr>
          <w:rFonts w:ascii="Sylfaen" w:hAnsi="Sylfaen"/>
          <w:bCs/>
          <w:sz w:val="19"/>
          <w:szCs w:val="19"/>
        </w:rPr>
        <w:t>Day, C., &amp; Gu, Q. (2009). Veteran teachers: Commitment, resilience and quality retention. Teachers and Teaching, 15(4), 441–457.</w:t>
      </w:r>
    </w:p>
    <w:p w14:paraId="0F4A4C2C" w14:textId="77777777" w:rsidR="00F87D1E" w:rsidRPr="00F87D1E" w:rsidRDefault="00F87D1E" w:rsidP="00F87D1E">
      <w:pPr>
        <w:pStyle w:val="ListParagraph"/>
        <w:numPr>
          <w:ilvl w:val="0"/>
          <w:numId w:val="28"/>
        </w:numPr>
        <w:spacing w:line="240" w:lineRule="auto"/>
        <w:ind w:left="567" w:hanging="567"/>
        <w:jc w:val="both"/>
        <w:rPr>
          <w:rFonts w:ascii="Sylfaen" w:hAnsi="Sylfaen"/>
          <w:bCs/>
          <w:sz w:val="19"/>
          <w:szCs w:val="19"/>
        </w:rPr>
      </w:pPr>
      <w:r w:rsidRPr="00F87D1E">
        <w:rPr>
          <w:rFonts w:ascii="Sylfaen" w:hAnsi="Sylfaen"/>
          <w:bCs/>
          <w:sz w:val="19"/>
          <w:szCs w:val="19"/>
        </w:rPr>
        <w:t xml:space="preserve">Dinham, S., &amp; Scott, C. (1998). A </w:t>
      </w:r>
      <w:proofErr w:type="gramStart"/>
      <w:r w:rsidRPr="00F87D1E">
        <w:rPr>
          <w:rFonts w:ascii="Sylfaen" w:hAnsi="Sylfaen"/>
          <w:bCs/>
          <w:sz w:val="19"/>
          <w:szCs w:val="19"/>
        </w:rPr>
        <w:t>three domain</w:t>
      </w:r>
      <w:proofErr w:type="gramEnd"/>
      <w:r w:rsidRPr="00F87D1E">
        <w:rPr>
          <w:rFonts w:ascii="Sylfaen" w:hAnsi="Sylfaen"/>
          <w:bCs/>
          <w:sz w:val="19"/>
          <w:szCs w:val="19"/>
        </w:rPr>
        <w:t xml:space="preserve"> model of teacher satisfaction. Journal of Educational Administration, 36(4), 362–378.</w:t>
      </w:r>
    </w:p>
    <w:p w14:paraId="3058F207" w14:textId="77777777" w:rsidR="00F87D1E" w:rsidRPr="00F87D1E" w:rsidRDefault="00F87D1E" w:rsidP="00F87D1E">
      <w:pPr>
        <w:pStyle w:val="ListParagraph"/>
        <w:numPr>
          <w:ilvl w:val="0"/>
          <w:numId w:val="28"/>
        </w:numPr>
        <w:spacing w:line="240" w:lineRule="auto"/>
        <w:ind w:left="567" w:hanging="567"/>
        <w:jc w:val="both"/>
        <w:rPr>
          <w:rFonts w:ascii="Sylfaen" w:hAnsi="Sylfaen"/>
          <w:bCs/>
          <w:sz w:val="19"/>
          <w:szCs w:val="19"/>
        </w:rPr>
      </w:pPr>
      <w:r w:rsidRPr="00F87D1E">
        <w:rPr>
          <w:rFonts w:ascii="Sylfaen" w:hAnsi="Sylfaen"/>
          <w:bCs/>
          <w:sz w:val="19"/>
          <w:szCs w:val="19"/>
        </w:rPr>
        <w:t>Evans, L. (1998). Teacher morale, job satisfaction and motivation. Paul Chapman Publishing.</w:t>
      </w:r>
    </w:p>
    <w:p w14:paraId="5F49B94D" w14:textId="77777777" w:rsidR="00F87D1E" w:rsidRPr="00F87D1E" w:rsidRDefault="00F87D1E" w:rsidP="00F87D1E">
      <w:pPr>
        <w:pStyle w:val="ListParagraph"/>
        <w:numPr>
          <w:ilvl w:val="0"/>
          <w:numId w:val="28"/>
        </w:numPr>
        <w:spacing w:line="240" w:lineRule="auto"/>
        <w:ind w:left="567" w:hanging="567"/>
        <w:jc w:val="both"/>
        <w:rPr>
          <w:rFonts w:ascii="Sylfaen" w:hAnsi="Sylfaen"/>
          <w:bCs/>
          <w:sz w:val="19"/>
          <w:szCs w:val="19"/>
        </w:rPr>
      </w:pPr>
      <w:r w:rsidRPr="00F87D1E">
        <w:rPr>
          <w:rFonts w:ascii="Sylfaen" w:hAnsi="Sylfaen"/>
          <w:bCs/>
          <w:sz w:val="19"/>
          <w:szCs w:val="19"/>
        </w:rPr>
        <w:t>Hagedorn, L. S. (2000). Conceptualizing faculty job satisfaction. New Directions for Institutional Research, 2000(105), 5–20.</w:t>
      </w:r>
    </w:p>
    <w:p w14:paraId="2A56B91B" w14:textId="77777777" w:rsidR="00F87D1E" w:rsidRPr="00F87D1E" w:rsidRDefault="00F87D1E" w:rsidP="00F87D1E">
      <w:pPr>
        <w:pStyle w:val="ListParagraph"/>
        <w:numPr>
          <w:ilvl w:val="0"/>
          <w:numId w:val="28"/>
        </w:numPr>
        <w:spacing w:line="240" w:lineRule="auto"/>
        <w:ind w:left="567" w:hanging="567"/>
        <w:jc w:val="both"/>
        <w:rPr>
          <w:rFonts w:ascii="Sylfaen" w:hAnsi="Sylfaen"/>
          <w:bCs/>
          <w:sz w:val="19"/>
          <w:szCs w:val="19"/>
        </w:rPr>
      </w:pPr>
      <w:r w:rsidRPr="00F87D1E">
        <w:rPr>
          <w:rFonts w:ascii="Sylfaen" w:hAnsi="Sylfaen"/>
          <w:bCs/>
          <w:sz w:val="19"/>
          <w:szCs w:val="19"/>
        </w:rPr>
        <w:t>Herzberg, F. (1966). Work and the nature of man. Cleveland: World Publishing Company.</w:t>
      </w:r>
    </w:p>
    <w:p w14:paraId="5C081D7E" w14:textId="77777777" w:rsidR="00F87D1E" w:rsidRPr="00F87D1E" w:rsidRDefault="00F87D1E" w:rsidP="00F87D1E">
      <w:pPr>
        <w:pStyle w:val="ListParagraph"/>
        <w:numPr>
          <w:ilvl w:val="0"/>
          <w:numId w:val="28"/>
        </w:numPr>
        <w:spacing w:line="240" w:lineRule="auto"/>
        <w:ind w:left="567" w:hanging="567"/>
        <w:jc w:val="both"/>
        <w:rPr>
          <w:rFonts w:ascii="Sylfaen" w:hAnsi="Sylfaen"/>
          <w:bCs/>
          <w:sz w:val="19"/>
          <w:szCs w:val="19"/>
        </w:rPr>
      </w:pPr>
      <w:r w:rsidRPr="00F87D1E">
        <w:rPr>
          <w:rFonts w:ascii="Sylfaen" w:hAnsi="Sylfaen"/>
          <w:bCs/>
          <w:sz w:val="19"/>
          <w:szCs w:val="19"/>
        </w:rPr>
        <w:t>Ingersoll, R. M. (2001). Teacher turnover and shortages. American Educational Research Journal, 38(3), 499–534.</w:t>
      </w:r>
    </w:p>
    <w:p w14:paraId="3E605F10" w14:textId="77777777" w:rsidR="00F87D1E" w:rsidRPr="00F87D1E" w:rsidRDefault="00F87D1E" w:rsidP="00F87D1E">
      <w:pPr>
        <w:pStyle w:val="ListParagraph"/>
        <w:numPr>
          <w:ilvl w:val="0"/>
          <w:numId w:val="28"/>
        </w:numPr>
        <w:spacing w:line="240" w:lineRule="auto"/>
        <w:ind w:left="567" w:hanging="567"/>
        <w:jc w:val="both"/>
        <w:rPr>
          <w:rFonts w:ascii="Sylfaen" w:hAnsi="Sylfaen"/>
          <w:bCs/>
          <w:sz w:val="19"/>
          <w:szCs w:val="19"/>
        </w:rPr>
      </w:pPr>
      <w:r w:rsidRPr="00F87D1E">
        <w:rPr>
          <w:rFonts w:ascii="Sylfaen" w:hAnsi="Sylfaen"/>
          <w:bCs/>
          <w:sz w:val="19"/>
          <w:szCs w:val="19"/>
        </w:rPr>
        <w:t>Judge, T. A., &amp; Klinger, R. (2008). Job satisfaction: Subjective well-being at work. In M. Eid &amp; R. Larsen (Eds.), The science of subjective well-being (pp. 393–413). Guilford Press.</w:t>
      </w:r>
    </w:p>
    <w:p w14:paraId="122BBF0F" w14:textId="77777777" w:rsidR="00F87D1E" w:rsidRPr="00F87D1E" w:rsidRDefault="00F87D1E" w:rsidP="00F87D1E">
      <w:pPr>
        <w:pStyle w:val="ListParagraph"/>
        <w:numPr>
          <w:ilvl w:val="0"/>
          <w:numId w:val="28"/>
        </w:numPr>
        <w:spacing w:line="240" w:lineRule="auto"/>
        <w:ind w:left="567" w:hanging="567"/>
        <w:jc w:val="both"/>
        <w:rPr>
          <w:rFonts w:ascii="Sylfaen" w:hAnsi="Sylfaen"/>
          <w:bCs/>
          <w:sz w:val="19"/>
          <w:szCs w:val="19"/>
        </w:rPr>
      </w:pPr>
      <w:r w:rsidRPr="00F87D1E">
        <w:rPr>
          <w:rFonts w:ascii="Sylfaen" w:hAnsi="Sylfaen"/>
          <w:bCs/>
          <w:sz w:val="19"/>
          <w:szCs w:val="19"/>
        </w:rPr>
        <w:t>Klassen, R. M., &amp; Chiu, M. M. (2011). Occupational commitment and intention to quit. Journal of Educational Psychology, 103(4), 993–1006.</w:t>
      </w:r>
    </w:p>
    <w:p w14:paraId="334D588C" w14:textId="77777777" w:rsidR="00F87D1E" w:rsidRPr="00F87D1E" w:rsidRDefault="00F87D1E" w:rsidP="00F87D1E">
      <w:pPr>
        <w:pStyle w:val="ListParagraph"/>
        <w:numPr>
          <w:ilvl w:val="0"/>
          <w:numId w:val="28"/>
        </w:numPr>
        <w:spacing w:line="240" w:lineRule="auto"/>
        <w:ind w:left="567" w:hanging="567"/>
        <w:jc w:val="both"/>
        <w:rPr>
          <w:rFonts w:ascii="Sylfaen" w:hAnsi="Sylfaen"/>
          <w:bCs/>
          <w:sz w:val="19"/>
          <w:szCs w:val="19"/>
        </w:rPr>
      </w:pPr>
      <w:proofErr w:type="spellStart"/>
      <w:r w:rsidRPr="00F87D1E">
        <w:rPr>
          <w:rFonts w:ascii="Sylfaen" w:hAnsi="Sylfaen"/>
          <w:bCs/>
          <w:sz w:val="19"/>
          <w:szCs w:val="19"/>
        </w:rPr>
        <w:t>Leithwood</w:t>
      </w:r>
      <w:proofErr w:type="spellEnd"/>
      <w:r w:rsidRPr="00F87D1E">
        <w:rPr>
          <w:rFonts w:ascii="Sylfaen" w:hAnsi="Sylfaen"/>
          <w:bCs/>
          <w:sz w:val="19"/>
          <w:szCs w:val="19"/>
        </w:rPr>
        <w:t>, K., &amp; Jantzi, D. (2006). Transformational leadership. School Effectiveness and School Improvement, 17(2), 201–227.</w:t>
      </w:r>
    </w:p>
    <w:p w14:paraId="394AD23E" w14:textId="77777777" w:rsidR="00F87D1E" w:rsidRPr="00F87D1E" w:rsidRDefault="00F87D1E" w:rsidP="00F87D1E">
      <w:pPr>
        <w:pStyle w:val="ListParagraph"/>
        <w:numPr>
          <w:ilvl w:val="0"/>
          <w:numId w:val="28"/>
        </w:numPr>
        <w:spacing w:line="240" w:lineRule="auto"/>
        <w:ind w:left="567" w:hanging="567"/>
        <w:jc w:val="both"/>
        <w:rPr>
          <w:rFonts w:ascii="Sylfaen" w:hAnsi="Sylfaen"/>
          <w:bCs/>
          <w:sz w:val="19"/>
          <w:szCs w:val="19"/>
        </w:rPr>
      </w:pPr>
      <w:r w:rsidRPr="00F87D1E">
        <w:rPr>
          <w:rFonts w:ascii="Sylfaen" w:hAnsi="Sylfaen"/>
          <w:bCs/>
          <w:sz w:val="19"/>
          <w:szCs w:val="19"/>
        </w:rPr>
        <w:t>Liu, S., &amp; Onwuegbuzie, A. J. (2012). Teachers’ work stress and turnover. International Journal of Educational Research, 53, 160–170.</w:t>
      </w:r>
    </w:p>
    <w:p w14:paraId="06707722" w14:textId="77777777" w:rsidR="00F87D1E" w:rsidRPr="00F87D1E" w:rsidRDefault="00F87D1E" w:rsidP="00F87D1E">
      <w:pPr>
        <w:pStyle w:val="ListParagraph"/>
        <w:numPr>
          <w:ilvl w:val="0"/>
          <w:numId w:val="28"/>
        </w:numPr>
        <w:spacing w:line="240" w:lineRule="auto"/>
        <w:ind w:left="567" w:hanging="567"/>
        <w:jc w:val="both"/>
        <w:rPr>
          <w:rFonts w:ascii="Sylfaen" w:hAnsi="Sylfaen"/>
          <w:bCs/>
          <w:sz w:val="19"/>
          <w:szCs w:val="19"/>
        </w:rPr>
      </w:pPr>
      <w:r w:rsidRPr="00F87D1E">
        <w:rPr>
          <w:rFonts w:ascii="Sylfaen" w:hAnsi="Sylfaen"/>
          <w:bCs/>
          <w:sz w:val="19"/>
          <w:szCs w:val="19"/>
        </w:rPr>
        <w:t>Ma, X., &amp; MacMillan, R. B. (1999). Workplace conditions and teacher satisfaction. The Journal of Educational Research, 93(1), 39–47.</w:t>
      </w:r>
    </w:p>
    <w:p w14:paraId="23970854" w14:textId="77777777" w:rsidR="00F87D1E" w:rsidRPr="00F87D1E" w:rsidRDefault="00F87D1E" w:rsidP="00F87D1E">
      <w:pPr>
        <w:pStyle w:val="ListParagraph"/>
        <w:numPr>
          <w:ilvl w:val="0"/>
          <w:numId w:val="28"/>
        </w:numPr>
        <w:spacing w:line="240" w:lineRule="auto"/>
        <w:ind w:left="567" w:hanging="567"/>
        <w:jc w:val="both"/>
        <w:rPr>
          <w:rFonts w:ascii="Sylfaen" w:hAnsi="Sylfaen"/>
          <w:bCs/>
          <w:sz w:val="19"/>
          <w:szCs w:val="19"/>
        </w:rPr>
      </w:pPr>
      <w:r w:rsidRPr="00F87D1E">
        <w:rPr>
          <w:rFonts w:ascii="Sylfaen" w:hAnsi="Sylfaen"/>
          <w:bCs/>
          <w:sz w:val="19"/>
          <w:szCs w:val="19"/>
        </w:rPr>
        <w:t>OECD. (2005). Teachers matter: Attracting, developing and retaining effective teachers. OECD Publishing.</w:t>
      </w:r>
    </w:p>
    <w:p w14:paraId="74274219" w14:textId="77777777" w:rsidR="00F87D1E" w:rsidRPr="00F87D1E" w:rsidRDefault="00F87D1E" w:rsidP="00F87D1E">
      <w:pPr>
        <w:pStyle w:val="ListParagraph"/>
        <w:numPr>
          <w:ilvl w:val="0"/>
          <w:numId w:val="28"/>
        </w:numPr>
        <w:spacing w:line="240" w:lineRule="auto"/>
        <w:ind w:left="567" w:hanging="567"/>
        <w:jc w:val="both"/>
        <w:rPr>
          <w:rFonts w:ascii="Sylfaen" w:hAnsi="Sylfaen"/>
          <w:bCs/>
          <w:sz w:val="19"/>
          <w:szCs w:val="19"/>
        </w:rPr>
      </w:pPr>
      <w:r w:rsidRPr="00F87D1E">
        <w:rPr>
          <w:rFonts w:ascii="Sylfaen" w:hAnsi="Sylfaen"/>
          <w:bCs/>
          <w:sz w:val="19"/>
          <w:szCs w:val="19"/>
        </w:rPr>
        <w:t>Perie, M., &amp; Baker, D. P. (1997). Job satisfaction among America’s teachers. National Center for Education Statistics.</w:t>
      </w:r>
    </w:p>
    <w:p w14:paraId="211FB324" w14:textId="77777777" w:rsidR="00F87D1E" w:rsidRPr="00F87D1E" w:rsidRDefault="00F87D1E" w:rsidP="00F87D1E">
      <w:pPr>
        <w:pStyle w:val="ListParagraph"/>
        <w:numPr>
          <w:ilvl w:val="0"/>
          <w:numId w:val="28"/>
        </w:numPr>
        <w:spacing w:line="240" w:lineRule="auto"/>
        <w:ind w:left="567" w:hanging="567"/>
        <w:jc w:val="both"/>
        <w:rPr>
          <w:rFonts w:ascii="Sylfaen" w:hAnsi="Sylfaen"/>
          <w:bCs/>
          <w:sz w:val="19"/>
          <w:szCs w:val="19"/>
        </w:rPr>
      </w:pPr>
      <w:proofErr w:type="spellStart"/>
      <w:r w:rsidRPr="00F87D1E">
        <w:rPr>
          <w:rFonts w:ascii="Sylfaen" w:hAnsi="Sylfaen"/>
          <w:bCs/>
          <w:sz w:val="19"/>
          <w:szCs w:val="19"/>
        </w:rPr>
        <w:t>Pithers</w:t>
      </w:r>
      <w:proofErr w:type="spellEnd"/>
      <w:r w:rsidRPr="00F87D1E">
        <w:rPr>
          <w:rFonts w:ascii="Sylfaen" w:hAnsi="Sylfaen"/>
          <w:bCs/>
          <w:sz w:val="19"/>
          <w:szCs w:val="19"/>
        </w:rPr>
        <w:t>, R. T., &amp; Soden, R. (1998). Teacher stress and strain. British Journal of Educational Psychology, 68(2), 269–279.</w:t>
      </w:r>
    </w:p>
    <w:p w14:paraId="582841DF" w14:textId="77777777" w:rsidR="00F87D1E" w:rsidRPr="00F87D1E" w:rsidRDefault="00F87D1E" w:rsidP="00F87D1E">
      <w:pPr>
        <w:pStyle w:val="ListParagraph"/>
        <w:numPr>
          <w:ilvl w:val="0"/>
          <w:numId w:val="28"/>
        </w:numPr>
        <w:spacing w:line="240" w:lineRule="auto"/>
        <w:ind w:left="567" w:hanging="567"/>
        <w:jc w:val="both"/>
        <w:rPr>
          <w:rFonts w:ascii="Sylfaen" w:hAnsi="Sylfaen"/>
          <w:bCs/>
          <w:sz w:val="19"/>
          <w:szCs w:val="19"/>
        </w:rPr>
      </w:pPr>
      <w:r w:rsidRPr="00F87D1E">
        <w:rPr>
          <w:rFonts w:ascii="Sylfaen" w:hAnsi="Sylfaen"/>
          <w:bCs/>
          <w:sz w:val="19"/>
          <w:szCs w:val="19"/>
        </w:rPr>
        <w:t>Schaufeli, W. B., &amp; Bakker, A. B. (2004). Burnout and engagement. Journal of Organizational Behavior, 25(3), 293–315.</w:t>
      </w:r>
    </w:p>
    <w:p w14:paraId="1B73E107" w14:textId="77777777" w:rsidR="00F87D1E" w:rsidRPr="00F87D1E" w:rsidRDefault="00F87D1E" w:rsidP="00F87D1E">
      <w:pPr>
        <w:pStyle w:val="ListParagraph"/>
        <w:numPr>
          <w:ilvl w:val="0"/>
          <w:numId w:val="28"/>
        </w:numPr>
        <w:spacing w:line="240" w:lineRule="auto"/>
        <w:ind w:left="567" w:hanging="567"/>
        <w:jc w:val="both"/>
        <w:rPr>
          <w:rFonts w:ascii="Sylfaen" w:hAnsi="Sylfaen"/>
          <w:bCs/>
          <w:sz w:val="19"/>
          <w:szCs w:val="19"/>
        </w:rPr>
      </w:pPr>
      <w:proofErr w:type="spellStart"/>
      <w:r w:rsidRPr="00F87D1E">
        <w:rPr>
          <w:rFonts w:ascii="Sylfaen" w:hAnsi="Sylfaen"/>
          <w:bCs/>
          <w:sz w:val="19"/>
          <w:szCs w:val="19"/>
        </w:rPr>
        <w:t>Skaalvik</w:t>
      </w:r>
      <w:proofErr w:type="spellEnd"/>
      <w:r w:rsidRPr="00F87D1E">
        <w:rPr>
          <w:rFonts w:ascii="Sylfaen" w:hAnsi="Sylfaen"/>
          <w:bCs/>
          <w:sz w:val="19"/>
          <w:szCs w:val="19"/>
        </w:rPr>
        <w:t xml:space="preserve">, E. M., &amp; </w:t>
      </w:r>
      <w:proofErr w:type="spellStart"/>
      <w:r w:rsidRPr="00F87D1E">
        <w:rPr>
          <w:rFonts w:ascii="Sylfaen" w:hAnsi="Sylfaen"/>
          <w:bCs/>
          <w:sz w:val="19"/>
          <w:szCs w:val="19"/>
        </w:rPr>
        <w:t>Skaalvik</w:t>
      </w:r>
      <w:proofErr w:type="spellEnd"/>
      <w:r w:rsidRPr="00F87D1E">
        <w:rPr>
          <w:rFonts w:ascii="Sylfaen" w:hAnsi="Sylfaen"/>
          <w:bCs/>
          <w:sz w:val="19"/>
          <w:szCs w:val="19"/>
        </w:rPr>
        <w:t>, S. (2011). Job satisfaction and leaving intention. Teaching and Teacher Education, 27(6), 1029–1038.</w:t>
      </w:r>
    </w:p>
    <w:p w14:paraId="478C9B4A" w14:textId="77777777" w:rsidR="00F87D1E" w:rsidRPr="00F87D1E" w:rsidRDefault="00F87D1E" w:rsidP="00F87D1E">
      <w:pPr>
        <w:pStyle w:val="ListParagraph"/>
        <w:numPr>
          <w:ilvl w:val="0"/>
          <w:numId w:val="28"/>
        </w:numPr>
        <w:spacing w:line="240" w:lineRule="auto"/>
        <w:ind w:left="567" w:hanging="567"/>
        <w:jc w:val="both"/>
        <w:rPr>
          <w:rFonts w:ascii="Sylfaen" w:hAnsi="Sylfaen"/>
          <w:bCs/>
          <w:sz w:val="19"/>
          <w:szCs w:val="19"/>
        </w:rPr>
      </w:pPr>
      <w:r w:rsidRPr="00F87D1E">
        <w:rPr>
          <w:rFonts w:ascii="Sylfaen" w:hAnsi="Sylfaen"/>
          <w:bCs/>
          <w:sz w:val="19"/>
          <w:szCs w:val="19"/>
        </w:rPr>
        <w:t>Spector, P. E. (1997). Job satisfaction: Application, assessment, causes, and consequences. Sage.</w:t>
      </w:r>
    </w:p>
    <w:p w14:paraId="2F97DB09" w14:textId="782E463D" w:rsidR="00F87D1E" w:rsidRPr="00F87D1E" w:rsidRDefault="00F87D1E" w:rsidP="00F87D1E">
      <w:pPr>
        <w:pStyle w:val="ListParagraph"/>
        <w:numPr>
          <w:ilvl w:val="0"/>
          <w:numId w:val="28"/>
        </w:numPr>
        <w:spacing w:line="240" w:lineRule="auto"/>
        <w:ind w:left="567" w:hanging="567"/>
        <w:jc w:val="both"/>
        <w:rPr>
          <w:rFonts w:ascii="Sylfaen" w:hAnsi="Sylfaen"/>
          <w:bCs/>
          <w:sz w:val="19"/>
          <w:szCs w:val="19"/>
        </w:rPr>
      </w:pPr>
      <w:proofErr w:type="spellStart"/>
      <w:r w:rsidRPr="00F87D1E">
        <w:rPr>
          <w:rFonts w:ascii="Sylfaen" w:hAnsi="Sylfaen"/>
          <w:bCs/>
          <w:sz w:val="19"/>
          <w:szCs w:val="19"/>
        </w:rPr>
        <w:t>Zembylas</w:t>
      </w:r>
      <w:proofErr w:type="spellEnd"/>
      <w:r w:rsidRPr="00F87D1E">
        <w:rPr>
          <w:rFonts w:ascii="Sylfaen" w:hAnsi="Sylfaen"/>
          <w:bCs/>
          <w:sz w:val="19"/>
          <w:szCs w:val="19"/>
        </w:rPr>
        <w:t>, M., &amp; Papanastasiou, E. (2004). Job satisfaction in Cyprus. Journal of Educational Administration, 42(3), 357–374.</w:t>
      </w:r>
    </w:p>
    <w:sectPr w:rsidR="00F87D1E" w:rsidRPr="00F87D1E" w:rsidSect="00004C85">
      <w:type w:val="continuous"/>
      <w:pgSz w:w="11906" w:h="16838"/>
      <w:pgMar w:top="1077" w:right="811" w:bottom="1440" w:left="811" w:header="709" w:footer="757" w:gutter="0"/>
      <w:cols w:num="2" w:space="23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625F44" w14:textId="77777777" w:rsidR="00046DB0" w:rsidRDefault="00046DB0" w:rsidP="008F7CBB">
      <w:r>
        <w:separator/>
      </w:r>
    </w:p>
  </w:endnote>
  <w:endnote w:type="continuationSeparator" w:id="0">
    <w:p w14:paraId="47C58C58" w14:textId="77777777" w:rsidR="00046DB0" w:rsidRDefault="00046DB0" w:rsidP="008F7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Nimbus Mono L">
    <w:altName w:val="Courier New"/>
    <w:charset w:val="00"/>
    <w:family w:val="modern"/>
    <w:pitch w:val="default"/>
  </w:font>
  <w:font w:name="Mangal">
    <w:panose1 w:val="00000400000000000000"/>
    <w:charset w:val="00"/>
    <w:family w:val="roman"/>
    <w:pitch w:val="variable"/>
    <w:sig w:usb0="00008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622408"/>
      <w:docPartObj>
        <w:docPartGallery w:val="Page Numbers (Bottom of Page)"/>
        <w:docPartUnique/>
      </w:docPartObj>
    </w:sdtPr>
    <w:sdtContent>
      <w:p w14:paraId="1D1ED910" w14:textId="37A2642B" w:rsidR="005773EA" w:rsidRDefault="00000000" w:rsidP="005773EA">
        <w:pPr>
          <w:pStyle w:val="Footer"/>
        </w:pPr>
        <w:r>
          <w:rPr>
            <w:noProof/>
          </w:rPr>
          <w:pict w14:anchorId="02ABDF4E">
            <v:line id="Straight Connector 7" o:spid="_x0000_s1062" style="position:absolute;flip:x;z-index:2516920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2.65pt,-2.25pt" to="487.0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Z2n+wEAAEgEAAAOAAAAZHJzL2Uyb0RvYy54bWysVE2P2yAQvVfqf0DcG9uRupu14uwhq20P&#10;2zZq2h/AYojRAoOAjZ1/3wESd/slVVV9QAwz8968YfD6djKaHIUPCmxHm0VNibAcemUPHf365f7N&#10;ipIQme2ZBis6ehKB3m5ev1qPrhVLGED3whMEsaEdXUeHGF1bVYEPwrCwACcsOiV4wyKa/lD1no2I&#10;bnS1rOuragTfOw9chICnd8VJNxlfSsHjJymDiER3FGuLefV5fUxrtVmz9uCZGxQ/l8H+oQrDlEXS&#10;GeqORUaevfoFyijuIYCMCw6mAikVF1kDqmnqn9TsB+ZE1oLNCW5uU/h/sPzjceeJ6jt6TYllBq9o&#10;Hz1ThyGSLViLDQRPrlOfRhdaDN/anU9K+WT37gH4U0Bf9YMzGcGVsEl6Q6RW7j2OR24RiiZTvoHT&#10;fANiioTj4dWyuWlu8KI4+lYr3CVw1iaUROp8iO8EGJI2HdXKpv6wlh0fQiyhl5B0rG1aA2jV3yut&#10;s5EmS2y1J0eGM8E4FzaWwvSz+QB9OX9b43cmz8OYUnIpL9CwsMSQxRe9WXk8aVHYPwuJvUVdhWAG&#10;Khz9U3Nm0BYjU4rEKuekOkv7Y9I5NqWJPOl/mzhHZ0awcU40yoL/HWucLqXKEn9RXbQm2Y/Qn3b+&#10;Mgs4rrlb56eV3sNLO6d//wFsvgEAAP//AwBQSwMEFAAGAAgAAAAhAEMtZqbfAAAACAEAAA8AAABk&#10;cnMvZG93bnJldi54bWxMj8FOwzAQRO9I/IO1SNxapwkUEuJULRIcEAcauHBz4yVOG6+j2G3D37Oc&#10;4Dg7o5m35WpyvTjhGDpPChbzBARS401HrYKP96fZPYgQNRnde0IF3xhgVV1elLow/kxbPNWxFVxC&#10;odAKbIxDIWVoLDod5n5AYu/Lj05HlmMrzajPXO56mSbJUjrdES9YPeCjxeZQH52Cw3a/Xy9fP5/f&#10;srDZvAy2Ro+1UtdX0/oBRMQp/oXhF5/RoWKmnT+SCaJXMLtNOakgzXMQ7Od3N3zYKcgWGciqlP8f&#10;qH4AAAD//wMAUEsBAi0AFAAGAAgAAAAhALaDOJL+AAAA4QEAABMAAAAAAAAAAAAAAAAAAAAAAFtD&#10;b250ZW50X1R5cGVzXS54bWxQSwECLQAUAAYACAAAACEAOP0h/9YAAACUAQAACwAAAAAAAAAAAAAA&#10;AAAvAQAAX3JlbHMvLnJlbHNQSwECLQAUAAYACAAAACEAWd2dp/sBAABIBAAADgAAAAAAAAAAAAAA&#10;AAAuAgAAZHJzL2Uyb0RvYy54bWxQSwECLQAUAAYACAAAACEAQy1mpt8AAAAIAQAADwAAAAAAAAAA&#10;AAAAAABVBAAAZHJzL2Rvd25yZXYueG1sUEsFBgAAAAAEAAQA8wAAAGEFAAAAAA==&#10;" strokecolor="#243f60 [1604]">
              <o:lock v:ext="edit" shapetype="f"/>
            </v:line>
          </w:pict>
        </w:r>
        <w:r>
          <w:rPr>
            <w:noProof/>
            <w:lang w:val="en-IN" w:eastAsia="en-IN"/>
          </w:rPr>
          <w:pict w14:anchorId="44679A57">
            <v:shapetype id="_x0000_t202" coordsize="21600,21600" o:spt="202" path="m,l,21600r21600,l21600,xe">
              <v:stroke joinstyle="miter"/>
              <v:path gradientshapeok="t" o:connecttype="rect"/>
            </v:shapetype>
            <v:shape id="Text Box 3" o:spid="_x0000_s1065" type="#_x0000_t202" style="position:absolute;margin-left:474.75pt;margin-top:3.1pt;width:28.5pt;height:14.4pt;z-index:2516930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ahV3wEAAJ0DAAAOAAAAZHJzL2Uyb0RvYy54bWysU9tu2zAMfR+wfxD0vjhOsCIz4hRdiw4D&#10;ugvQ7gNoWY6F2aJGKbGzrx8lx1mxvhV7EWiRPDo8PN5ej30njpq8QVvKfLGUQluFtbH7Uv54un+3&#10;kcIHsDV0aHUpT9rL693bN9vBFXqFLXa1JsEg1heDK2UbgiuyzKtW9+AX6LTlZIPUQ+BP2mc1wcDo&#10;fZetlsurbECqHaHS3vPt3ZSUu4TfNFqFb03jdRBdKZlbSCels4pntttCsSdwrVFnGvAKFj0Yy49e&#10;oO4ggDiQeQHVG0XosQkLhX2GTWOUTjPwNPnyn2keW3A6zcLieHeRyf8/WPX1+J2EqUu5lsJCzyt6&#10;0mMQH3EU66jO4HzBRY+Oy8LI17zlNKl3D6h+emHxtgW71zdEOLQaamaXx87sWeuE4yNINXzBmp+B&#10;Q8AENDbUR+lYDMHovKXTZTORiuLL9VX+4T1nFKfyzWqzSZvLoJibHfnwSWMvYlBK4sUncDg++BDJ&#10;QDGXxLcs3puum0lGXhPDMFbjeegK6xPTJZw8wx7noEX6LcXAfiml/3UA0lJ0ny2PHM01BzQH1RyA&#10;VdxayiDFFN6GyYQHR2bfMvIkqsUblqUxiXLUb2JxFpM9kCY5+zWa7Pl3qvr7V+3+AAAA//8DAFBL&#10;AwQUAAYACAAAACEAN4ehM98AAAAKAQAADwAAAGRycy9kb3ducmV2LnhtbEyPwU7DMAyG70i8Q2Qk&#10;bizpNg1Wmk4TghMSoisHjmnrtdEapzTZVt4e78SO9v/p9+dsM7lenHAM1pOGZKZAINW+sdRq+Crf&#10;Hp5AhGioMb0n1PCLATb57U1m0safqcDTLraCSyikRkMX45BKGeoOnQkzPyBxtvejM5HHsZXNaM5c&#10;7no5V2olnbHEFzoz4EuH9WF3dBq231S82p+P6rPYF7Ys14reVwet7++m7TOIiFP8h+Giz+qQs1Pl&#10;j9QE0WtYPy7njHKQLEBcALVIeFNpWKoEZJ7J6xfyPwAAAP//AwBQSwECLQAUAAYACAAAACEAtoM4&#10;kv4AAADhAQAAEwAAAAAAAAAAAAAAAAAAAAAAW0NvbnRlbnRfVHlwZXNdLnhtbFBLAQItABQABgAI&#10;AAAAIQA4/SH/1gAAAJQBAAALAAAAAAAAAAAAAAAAAC8BAABfcmVscy8ucmVsc1BLAQItABQABgAI&#10;AAAAIQDSKahV3wEAAJ0DAAAOAAAAAAAAAAAAAAAAAC4CAABkcnMvZTJvRG9jLnhtbFBLAQItABQA&#10;BgAIAAAAIQA3h6Ez3wAAAAoBAAAPAAAAAAAAAAAAAAAAADkEAABkcnMvZG93bnJldi54bWxQSwUG&#10;AAAAAAQABADzAAAARQUAAAAA&#10;" filled="f" stroked="f">
              <v:textbox style="mso-next-textbox:#Text Box 3" inset="0,0,0,0">
                <w:txbxContent>
                  <w:p w14:paraId="167DAA7F" w14:textId="77777777" w:rsidR="001879CC" w:rsidRPr="00D73731" w:rsidRDefault="001879CC" w:rsidP="001879CC">
                    <w:pPr>
                      <w:jc w:val="center"/>
                      <w:rPr>
                        <w:rFonts w:ascii="Sylfaen" w:hAnsi="Sylfaen"/>
                        <w:b/>
                        <w:bCs/>
                        <w:color w:val="000000" w:themeColor="text1"/>
                        <w:sz w:val="20"/>
                        <w:szCs w:val="20"/>
                        <w:lang w:val="en-US"/>
                      </w:rPr>
                    </w:pPr>
                    <w:r w:rsidRPr="00D73731">
                      <w:rPr>
                        <w:rFonts w:ascii="Sylfaen" w:hAnsi="Sylfaen"/>
                        <w:b/>
                        <w:bCs/>
                        <w:color w:val="000000" w:themeColor="text1"/>
                        <w:sz w:val="20"/>
                        <w:szCs w:val="20"/>
                      </w:rPr>
                      <w:fldChar w:fldCharType="begin"/>
                    </w:r>
                    <w:r w:rsidRPr="00D73731">
                      <w:rPr>
                        <w:rFonts w:ascii="Sylfaen" w:hAnsi="Sylfaen"/>
                        <w:b/>
                        <w:bCs/>
                        <w:color w:val="000000" w:themeColor="text1"/>
                        <w:sz w:val="20"/>
                        <w:szCs w:val="20"/>
                      </w:rPr>
                      <w:instrText xml:space="preserve"> PAGE    \* MERGEFORMAT </w:instrText>
                    </w:r>
                    <w:r w:rsidRPr="00D73731">
                      <w:rPr>
                        <w:rFonts w:ascii="Sylfaen" w:hAnsi="Sylfaen"/>
                        <w:b/>
                        <w:bCs/>
                        <w:color w:val="000000" w:themeColor="text1"/>
                        <w:sz w:val="20"/>
                        <w:szCs w:val="20"/>
                      </w:rPr>
                      <w:fldChar w:fldCharType="separate"/>
                    </w:r>
                    <w:r w:rsidR="0067547E">
                      <w:rPr>
                        <w:rFonts w:ascii="Sylfaen" w:hAnsi="Sylfaen"/>
                        <w:b/>
                        <w:bCs/>
                        <w:noProof/>
                        <w:color w:val="000000" w:themeColor="text1"/>
                        <w:sz w:val="20"/>
                        <w:szCs w:val="20"/>
                      </w:rPr>
                      <w:t>467</w:t>
                    </w:r>
                    <w:r w:rsidRPr="00D73731">
                      <w:rPr>
                        <w:rFonts w:ascii="Sylfaen" w:hAnsi="Sylfaen"/>
                        <w:b/>
                        <w:bCs/>
                        <w:noProof/>
                        <w:color w:val="000000" w:themeColor="text1"/>
                        <w:sz w:val="20"/>
                        <w:szCs w:val="20"/>
                      </w:rPr>
                      <w:fldChar w:fldCharType="end"/>
                    </w:r>
                  </w:p>
                </w:txbxContent>
              </v:textbox>
            </v:shape>
          </w:pict>
        </w:r>
        <w:r w:rsidR="00A927F9">
          <w:rPr>
            <w:noProof/>
            <w:lang w:val="en-IN" w:eastAsia="en-IN"/>
          </w:rPr>
          <w:drawing>
            <wp:anchor distT="0" distB="0" distL="114300" distR="114300" simplePos="0" relativeHeight="251656192" behindDoc="0" locked="0" layoutInCell="1" allowOverlap="1" wp14:anchorId="75EC6CA6" wp14:editId="6E32BEFD">
              <wp:simplePos x="0" y="0"/>
              <wp:positionH relativeFrom="column">
                <wp:posOffset>5978722</wp:posOffset>
              </wp:positionH>
              <wp:positionV relativeFrom="paragraph">
                <wp:posOffset>-76346</wp:posOffset>
              </wp:positionV>
              <wp:extent cx="435196" cy="4248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435908" cy="42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08671909">
            <v:shape id="Text Box 14" o:spid="_x0000_s1061" type="#_x0000_t202" style="position:absolute;margin-left:37.9pt;margin-top:780.1pt;width:467.7pt;height:16.05pt;z-index:-251625472;visibility:visible;mso-height-percent:0;mso-wrap-distance-left:9pt;mso-wrap-distance-top:0;mso-wrap-distance-right:9pt;mso-wrap-distance-bottom:0;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cNk7AEAAL8DAAAOAAAAZHJzL2Uyb0RvYy54bWysU9tu2zAMfR+wfxD0vtjJ0mww4hRdiw4D&#10;ugvQ7gMYWbaF2aJGKbGzrx8lx1m3vQ17ESiKPDw8pLbXY9+JoyZv0JZyucil0FZhZWxTyq9P96/e&#10;SuED2Ao6tLqUJ+3l9e7li+3gCr3CFrtKk2AQ64vBlbINwRVZ5lWre/ALdNryY43UQ+ArNVlFMDB6&#10;32WrPN9kA1LlCJX2nr1306PcJfy61ip8rmuvg+hKydxCOimd+3hmuy0UDYFrjTrTgH9g0YOxXPQC&#10;dQcBxIHMX1C9UYQe67BQ2GdY10bp1AN3s8z/6OaxBadTLyyOdxeZ/P+DVZ+OX0iYime3lsJCzzN6&#10;0mMQ73AU7GJ9BucLDnt0HBhG9nNs6tW7B1TfvLB424Jt9A0RDq2GivktY2b2LHXC8RFkP3zEiuvA&#10;IWACGmvqo3gsh2B0ntPpMpvIRbFzfbVZvt68kULx2ypfL9dXqQQUc7YjH95r7EU0Skk8+4QOxwcf&#10;Ihso5pBYzOK96bo0/87+5uDA6EnsI+GJehj34yTULMoeqxO3QzhtFf8CNlqkH1IMvFGl9N8PQFqK&#10;7oNlSeL6zQbNxn42wCpOLWWQYjJvw7SmB0emaRl5Et3iDctWm9RR1HdicabLW5IaPW90XMPn9xT1&#10;69/tfgIAAP//AwBQSwMEFAAGAAgAAAAhAA0FkY7gAAAADAEAAA8AAABkcnMvZG93bnJldi54bWxM&#10;j0FPg0AQhe8m/ofNmHizCzUiIEvTGD2ZNFI8eFzYLWzKziK7bfHfdzjpbea9lzffFJvZDuysJ28c&#10;CohXETCNrVMGOwFf9ftDCswHiUoODrWAX+1hU97eFDJX7oKVPu9Dx6gEfS4F9CGMOee+7bWVfuVG&#10;jeQd3GRloHXquJrkhcrtwNdRlHArDdKFXo76tdftcX+yArbfWL2Zn13zWR0qU9dZhB/JUYj7u3n7&#10;AizoOfyFYcEndCiJqXEnVJ4NArKUyAPpT4/PMTBKpPEyNIuUZGvgZcH/P1FeAQAA//8DAFBLAQIt&#10;ABQABgAIAAAAIQC2gziS/gAAAOEBAAATAAAAAAAAAAAAAAAAAAAAAABbQ29udGVudF9UeXBlc10u&#10;eG1sUEsBAi0AFAAGAAgAAAAhADj9If/WAAAAlAEAAAsAAAAAAAAAAAAAAAAALwEAAF9yZWxzLy5y&#10;ZWxzUEsBAi0AFAAGAAgAAAAhAHklw2TsAQAAvwMAAA4AAAAAAAAAAAAAAAAALgIAAGRycy9lMm9E&#10;b2MueG1sUEsBAi0AFAAGAAgAAAAhAA0FkY7gAAAADAEAAA8AAAAAAAAAAAAAAAAARgQAAGRycy9k&#10;b3ducmV2LnhtbFBLBQYAAAAABAAEAPMAAABTBQAAAAA=&#10;" filled="f" stroked="f">
              <v:textbox style="mso-next-textbox:#Text Box 14" inset="0,0,0,0">
                <w:txbxContent>
                  <w:p w14:paraId="4F8F9375" w14:textId="2388F60A" w:rsidR="005773EA" w:rsidRPr="00194855" w:rsidRDefault="00D32A24" w:rsidP="005773EA">
                    <w:pPr>
                      <w:spacing w:line="240" w:lineRule="exact"/>
                      <w:ind w:left="20" w:right="-34"/>
                      <w:rPr>
                        <w:rFonts w:ascii="Sylfaen" w:eastAsia="Calibri" w:hAnsi="Sylfaen" w:cs="Arial"/>
                        <w:spacing w:val="2"/>
                        <w:sz w:val="19"/>
                        <w:szCs w:val="19"/>
                      </w:rPr>
                    </w:pPr>
                    <w:r w:rsidRPr="00194855">
                      <w:rPr>
                        <w:rFonts w:ascii="Sylfaen" w:eastAsia="Calibri" w:hAnsi="Sylfaen" w:cs="Arial"/>
                        <w:spacing w:val="2"/>
                        <w:sz w:val="19"/>
                        <w:szCs w:val="19"/>
                      </w:rPr>
                      <w:t xml:space="preserve">International Journal of Scientific Research in Science and Technology (www.ijsrst.com) | Volume </w:t>
                    </w:r>
                    <w:r w:rsidR="00BB1749">
                      <w:rPr>
                        <w:rFonts w:ascii="Sylfaen" w:eastAsia="Calibri" w:hAnsi="Sylfaen" w:cs="Arial"/>
                        <w:spacing w:val="2"/>
                        <w:sz w:val="19"/>
                        <w:szCs w:val="19"/>
                      </w:rPr>
                      <w:t>12</w:t>
                    </w:r>
                    <w:r w:rsidRPr="00194855">
                      <w:rPr>
                        <w:rFonts w:ascii="Sylfaen" w:eastAsia="Calibri" w:hAnsi="Sylfaen" w:cs="Arial"/>
                        <w:spacing w:val="2"/>
                        <w:sz w:val="19"/>
                        <w:szCs w:val="19"/>
                      </w:rPr>
                      <w:t xml:space="preserve"> |  Issue </w:t>
                    </w:r>
                    <w:r w:rsidR="00072FC4">
                      <w:rPr>
                        <w:rFonts w:ascii="Sylfaen" w:eastAsia="Calibri" w:hAnsi="Sylfaen" w:cs="Arial"/>
                        <w:spacing w:val="2"/>
                        <w:sz w:val="19"/>
                        <w:szCs w:val="19"/>
                      </w:rPr>
                      <w:t>4</w:t>
                    </w:r>
                  </w:p>
                </w:txbxContent>
              </v:textbox>
              <w10:wrap anchorx="page" anchory="page"/>
            </v:shape>
          </w:pict>
        </w:r>
      </w:p>
    </w:sdtContent>
  </w:sdt>
  <w:p w14:paraId="78CC0201" w14:textId="75E19EEB" w:rsidR="005C0D18" w:rsidRPr="005773EA" w:rsidRDefault="005C0D18" w:rsidP="005773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E546A" w14:textId="3F9FEA6A" w:rsidR="00782E26" w:rsidRDefault="00000000" w:rsidP="00782E26">
    <w:pPr>
      <w:pStyle w:val="Footer"/>
    </w:pPr>
    <w:r>
      <w:rPr>
        <w:noProof/>
      </w:rPr>
      <w:pict w14:anchorId="4D79E9AB">
        <v:shapetype id="_x0000_t202" coordsize="21600,21600" o:spt="202" path="m,l,21600r21600,l21600,xe">
          <v:stroke joinstyle="miter"/>
          <v:path gradientshapeok="t" o:connecttype="rect"/>
        </v:shapetype>
        <v:shape id="Text Box 4" o:spid="_x0000_s1070" type="#_x0000_t202" style="position:absolute;margin-left:472.65pt;margin-top:-4.95pt;width:21.55pt;height:14.4pt;z-index:251698176;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5S80QEAAH8DAAAOAAAAZHJzL2Uyb0RvYy54bWysU8tu2zAQvBfoPxC817JcNHAFy0GaIEWB&#10;9AGk+QCKoiSiEpfdpS25X98lZTlFcyt6IVZccjgzO9pdT0MvjgbJgitlvlpLYZyG2rq2lE/f799s&#10;paCgXK16cKaUJ0Pyev/61W70hdlAB31tUDCIo2L0pexC8EWWke7MoGgF3jhuNoCDCvyJbVajGhl9&#10;6LPNen2VjYC1R9CGiHfv5qbcJ/ymMTp8bRoyQfSlZG4hrZjWKq7ZfqeKFpXvrD7TUP/AYlDW8aMX&#10;qDsVlDigfQE1WI1A0ISVhiGDprHaJA2sJl//peaxU94kLWwO+YtN9P9g9Zfjo/+GIkwfYOIBJhHk&#10;H0D/IOHgtlOuNTeIMHZG1fxwHi3LRk/F+Wq0mgqKINX4GWoesjoESEBTg0N0hXUKRucBnC6mmykI&#10;zZtvr/L377ijuZVvN9ttGkqmiuWyRwofDQwiFqVEnmkCV8cHCpGMKpYj8S0H97bvF5KR18wwTNUk&#10;bF3KTVQQOVdQn5g1wpwKTjEXHeAvKUZORCnp50GhkaL/5Fh5jM9S4FJUS6Gc5qulDFLM5W2YY3bw&#10;aNuOkWdvHdywO41NzJ9ZnD3lKSdB50TGGP35nU49/zf73wAAAP//AwBQSwMEFAAGAAgAAAAhAKtr&#10;lo7gAAAACwEAAA8AAABkcnMvZG93bnJldi54bWxMj0FPwzAMhe9I/IfISNy2pNM2baXpNCE4ISG6&#10;cuCYtl4brXFKk23l3+Od4Gb7PT1/L9tNrhcXHIP1pCGZKxBItW8stRo+y9fZBkSIhhrTe0INPxhg&#10;l9/fZSZt/JUKvBxiKziEQmo0dDEOqZSh7tCZMPcDEmtHPzoTeR1b2YzmyuGulwul1tIZS/yhMwM+&#10;d1ifDmenYf9FxYv9fq8+imNhy3Kr6G190vrxYdo/gYg4xT8z3PAZHXJmqvyZmiB6DdvVirtEDbNE&#10;LUHcHCpZ8KniabMEmWfyf4f8FwAA//8DAFBLAQItABQABgAIAAAAIQC2gziS/gAAAOEBAAATAAAA&#10;AAAAAAAAAAAAAAAAAABbQ29udGVudF9UeXBlc10ueG1sUEsBAi0AFAAGAAgAAAAhADj9If/WAAAA&#10;lAEAAAsAAAAAAAAAAAAAAAAALwEAAF9yZWxzLy5yZWxzUEsBAi0AFAAGAAgAAAAhAOu/lLzRAQAA&#10;fwMAAA4AAAAAAAAAAAAAAAAALgIAAGRycy9lMm9Eb2MueG1sUEsBAi0AFAAGAAgAAAAhAKtrlo7g&#10;AAAACwEAAA8AAAAAAAAAAAAAAAAAKwQAAGRycy9kb3ducmV2LnhtbFBLBQYAAAAABAAEAPMAAAA4&#10;BQAAAAA=&#10;" filled="f" stroked="f">
          <v:textbox inset="0,0,0,0">
            <w:txbxContent>
              <w:p w14:paraId="4905E583" w14:textId="716C7483" w:rsidR="00782E26" w:rsidRPr="00D73731" w:rsidRDefault="001A473A" w:rsidP="00004C85">
                <w:pPr>
                  <w:jc w:val="center"/>
                  <w:rPr>
                    <w:rFonts w:ascii="Sylfaen" w:hAnsi="Sylfaen"/>
                    <w:b/>
                    <w:bCs/>
                    <w:color w:val="000000" w:themeColor="text1"/>
                    <w:sz w:val="20"/>
                    <w:szCs w:val="20"/>
                    <w:lang w:val="en-US"/>
                  </w:rPr>
                </w:pPr>
                <w:r>
                  <w:rPr>
                    <w:rFonts w:ascii="Sylfaen" w:hAnsi="Sylfaen"/>
                    <w:b/>
                    <w:bCs/>
                    <w:color w:val="000000" w:themeColor="text1"/>
                    <w:sz w:val="20"/>
                    <w:szCs w:val="20"/>
                    <w:lang w:val="en-US"/>
                  </w:rPr>
                  <w:t>466</w:t>
                </w:r>
              </w:p>
            </w:txbxContent>
          </v:textbox>
        </v:shape>
      </w:pict>
    </w:r>
    <w:r>
      <w:rPr>
        <w:noProof/>
      </w:rPr>
      <w:pict w14:anchorId="7BD45765">
        <v:shape id="Text Box 1254022378" o:spid="_x0000_s1069" type="#_x0000_t202" style="position:absolute;margin-left:38.8pt;margin-top:724.15pt;width:462.7pt;height:44.45pt;z-index:-251616256;visibility:visible;mso-height-percent:0;mso-wrap-distance-left:9pt;mso-wrap-distance-top:0;mso-wrap-distance-right:9pt;mso-wrap-distance-bottom:0;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mYI2wEAAJgDAAAOAAAAZHJzL2Uyb0RvYy54bWysU9tu3CAQfa/Uf0C8d+29ZBVZ643SRKkq&#10;pRcpzQdgDDaqzdCBXXv79R3wetOmb1Vf0DDAmXPODLubse/YUaE3YEu+XOScKSuhNrYp+fO3h3fX&#10;nPkgbC06sKrkJ+X5zf7tm93gCrWCFrpaISMQ64vBlbwNwRVZ5mWreuEX4JSlQw3Yi0BbbLIaxUDo&#10;fZet8nybDYC1Q5DKe8reT4d8n/C1VjJ80dqrwLqSE7eQVkxrFddsvxNFg8K1Rp5piH9g0QtjqegF&#10;6l4EwQ5o/oLqjUTwoMNCQp+B1kaqpIHULPNXap5a4VTSQuZ4d7HJ/z9Y+fn45L4iC+N7GKmBSYR3&#10;jyC/e2bhrhW2UbeIMLRK1FR4GS3LBueL89NotS98BKmGT1BTk8UhQAIaNfbRFdLJCJ0acLqYrsbA&#10;JCW3+Wa1vtpyJunsarvZrK9TCVHMrx368EFBz2JQcqSmJnRxfPQhshHFfCUWs/Bgui41trN/JOhi&#10;zCT2kfBEPYzVyExd8nWsG8VUUJ9IDsI0LjTeFLSAPzkbaFRK7n8cBCrOuo+WLIlzNQc4B9UcCCvp&#10;ackDZ1N4F6b5Ozg0TUvIk+kWbsk2bZKiFxZnutT+JPQ8qnG+ft+nWy8fav8LAAD//wMAUEsDBBQA&#10;BgAIAAAAIQCNTSLu4QAAAA0BAAAPAAAAZHJzL2Rvd25yZXYueG1sTI/BTsMwEETvSPyDtUjcqF1I&#10;IhLiVBWCExIiDQeOTuwmVuN1iN02/D3bE9x2d0azb8rN4kZ2MnOwHiWsVwKYwc5ri72Ez+b17hFY&#10;iAq1Gj0aCT8mwKa6vipVof0Za3PaxZ5RCIZCSRhinArOQzcYp8LKTwZJ2/vZqUjr3HM9qzOFu5Hf&#10;C5FxpyzSh0FN5nkw3WF3dBK2X1i/2O/39qPe17ZpcoFv2UHK25tl+wQsmiX+meGCT+hQEVPrj6gD&#10;GyXkSUpOuidpSqUuDpFka2AtTWnykAOvSv6/RfULAAD//wMAUEsBAi0AFAAGAAgAAAAhALaDOJL+&#10;AAAA4QEAABMAAAAAAAAAAAAAAAAAAAAAAFtDb250ZW50X1R5cGVzXS54bWxQSwECLQAUAAYACAAA&#10;ACEAOP0h/9YAAACUAQAACwAAAAAAAAAAAAAAAAAvAQAAX3JlbHMvLnJlbHNQSwECLQAUAAYACAAA&#10;ACEAZyJmCNsBAACYAwAADgAAAAAAAAAAAAAAAAAuAgAAZHJzL2Uyb0RvYy54bWxQSwECLQAUAAYA&#10;CAAAACEAjU0i7uEAAAANAQAADwAAAAAAAAAAAAAAAAA1BAAAZHJzL2Rvd25yZXYueG1sUEsFBgAA&#10;AAAEAAQA8wAAAEMFAAAAAA==&#10;" filled="f" stroked="f">
          <v:textbox inset="0,0,0,0">
            <w:txbxContent>
              <w:p w14:paraId="0242A337" w14:textId="77777777" w:rsidR="00782E26" w:rsidRDefault="00782E26" w:rsidP="00782E26">
                <w:pPr>
                  <w:spacing w:after="27"/>
                  <w:ind w:right="134"/>
                  <w:jc w:val="both"/>
                  <w:rPr>
                    <w:rFonts w:ascii="Sylfaen" w:hAnsi="Sylfaen"/>
                    <w:b/>
                    <w:sz w:val="20"/>
                    <w:szCs w:val="20"/>
                  </w:rPr>
                </w:pPr>
              </w:p>
              <w:p w14:paraId="517C398A" w14:textId="0D46A2FE" w:rsidR="00782E26" w:rsidRPr="00A36E45" w:rsidRDefault="00782E26" w:rsidP="00782E26">
                <w:pPr>
                  <w:spacing w:after="27"/>
                  <w:ind w:right="134"/>
                  <w:jc w:val="both"/>
                  <w:rPr>
                    <w:rFonts w:ascii="Sylfaen" w:hAnsi="Sylfaen"/>
                    <w:sz w:val="20"/>
                    <w:szCs w:val="20"/>
                  </w:rPr>
                </w:pPr>
                <w:r w:rsidRPr="00A36E45">
                  <w:rPr>
                    <w:rFonts w:ascii="Sylfaen" w:hAnsi="Sylfaen"/>
                    <w:b/>
                    <w:sz w:val="20"/>
                    <w:szCs w:val="20"/>
                  </w:rPr>
                  <w:t>Copyright © 202</w:t>
                </w:r>
                <w:r w:rsidR="00136B38">
                  <w:rPr>
                    <w:rFonts w:ascii="Sylfaen" w:hAnsi="Sylfaen"/>
                    <w:b/>
                    <w:sz w:val="20"/>
                    <w:szCs w:val="20"/>
                  </w:rPr>
                  <w:t>5</w:t>
                </w:r>
                <w:r w:rsidRPr="00A36E45">
                  <w:rPr>
                    <w:rFonts w:ascii="Sylfaen" w:hAnsi="Sylfaen"/>
                    <w:b/>
                    <w:sz w:val="20"/>
                    <w:szCs w:val="20"/>
                  </w:rPr>
                  <w:t xml:space="preserve"> The Author(s): </w:t>
                </w:r>
                <w:r w:rsidRPr="00A36E45">
                  <w:rPr>
                    <w:rFonts w:ascii="Sylfaen" w:hAnsi="Sylfaen"/>
                    <w:sz w:val="20"/>
                    <w:szCs w:val="20"/>
                  </w:rPr>
                  <w:t xml:space="preserve">This is an open-access article distributed under the terms of the Creative Commons Attribution </w:t>
                </w:r>
                <w:r w:rsidRPr="00A36E45">
                  <w:rPr>
                    <w:rFonts w:ascii="Sylfaen" w:hAnsi="Sylfaen"/>
                    <w:b/>
                    <w:sz w:val="20"/>
                    <w:szCs w:val="20"/>
                  </w:rPr>
                  <w:t>4.0 International License (CC BY-NC 4.0)</w:t>
                </w:r>
              </w:p>
              <w:p w14:paraId="25B844B2" w14:textId="77777777" w:rsidR="00782E26" w:rsidRDefault="00782E26" w:rsidP="00782E26">
                <w:pPr>
                  <w:rPr>
                    <w:rFonts w:ascii="Sylfaen" w:eastAsia="TimesNewRomanPSMT" w:hAnsi="Sylfaen" w:cs="TimesNewRomanPSMT"/>
                    <w:sz w:val="18"/>
                    <w:szCs w:val="18"/>
                  </w:rPr>
                </w:pPr>
              </w:p>
              <w:p w14:paraId="293017D0" w14:textId="77777777" w:rsidR="00782E26" w:rsidRDefault="00782E26" w:rsidP="00782E26">
                <w:pPr>
                  <w:rPr>
                    <w:rFonts w:ascii="Sylfaen" w:eastAsia="TimesNewRomanPSMT" w:hAnsi="Sylfaen" w:cs="TimesNewRomanPSMT"/>
                    <w:sz w:val="18"/>
                    <w:szCs w:val="18"/>
                  </w:rPr>
                </w:pPr>
              </w:p>
            </w:txbxContent>
          </v:textbox>
          <w10:wrap anchorx="page" anchory="page"/>
        </v:shape>
      </w:pict>
    </w:r>
    <w:r w:rsidR="00072FC4">
      <w:rPr>
        <w:noProof/>
        <w:lang w:val="en-IN" w:eastAsia="en-IN"/>
      </w:rPr>
      <w:drawing>
        <wp:anchor distT="0" distB="0" distL="114300" distR="114300" simplePos="0" relativeHeight="251660288" behindDoc="0" locked="0" layoutInCell="1" allowOverlap="1" wp14:anchorId="11573D98" wp14:editId="608D69D4">
          <wp:simplePos x="0" y="0"/>
          <wp:positionH relativeFrom="column">
            <wp:posOffset>5915154</wp:posOffset>
          </wp:positionH>
          <wp:positionV relativeFrom="paragraph">
            <wp:posOffset>-164265</wp:posOffset>
          </wp:positionV>
          <wp:extent cx="415636" cy="427355"/>
          <wp:effectExtent l="0" t="0" r="0" b="0"/>
          <wp:wrapNone/>
          <wp:docPr id="681982711" name="Picture 68198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8072" cy="429860"/>
                  </a:xfrm>
                  <a:prstGeom prst="rect">
                    <a:avLst/>
                  </a:prstGeom>
                  <a:noFill/>
                </pic:spPr>
              </pic:pic>
            </a:graphicData>
          </a:graphic>
          <wp14:sizeRelH relativeFrom="page">
            <wp14:pctWidth>0</wp14:pctWidth>
          </wp14:sizeRelH>
          <wp14:sizeRelV relativeFrom="page">
            <wp14:pctHeight>0</wp14:pctHeight>
          </wp14:sizeRelV>
        </wp:anchor>
      </w:drawing>
    </w:r>
    <w:r>
      <w:rPr>
        <w:noProof/>
      </w:rPr>
      <w:pict w14:anchorId="613D670A">
        <v:line id="Straight Connector 647" o:spid="_x0000_s1068"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9.35pt" to="487.7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u/3QEAABkEAAAOAAAAZHJzL2Uyb0RvYy54bWysU0tv3CAQvlfqf0Dcu7ZX2iix1ptDorSH&#10;tI2a9gcQHmsUYBCQtfffd4BdN+pDqqr6gDww8z2GYXs9W0MOMkQNbqDdqqVEOg5Cu/1Av329e3dJ&#10;SUzMCWbAyYEeZaTXu7dvtpPv5RpGMEIGgiAu9pMf6JiS75sm8lFaFlfgpcNDBcGyhGHYNyKwCdGt&#10;adZte9FMEIQPwGWMuHtbD+mu4CslefqsVJSJmIGitlTWUNanvDa7Lev3gflR85MM9g8qLNMOSReo&#10;W5YYeQn6FyireYAIKq042AaU0lwWD+ima39y8zgyL4sXbE70S5vi/4Plnw437iFk6Xx2j/4e+HPE&#10;pjSTj/1ymIPoa9qsgiXKaP8B77t4RhdkLi09Li2VcyIcNy/W3VV3hZ3neHa53mxyxxvWZ5RM6kNM&#10;7yVYkn8GarTLhlnPDvcx1dRzSt42Lq8RjBZ32pgS5FGRNyaQA8NLZpxLl6ow82I/gqj7mxa/E3mZ&#10;rlxSpLxCQ2GZoZivfovzdDSysn+RimiBvirBAlQ5xHN3YjAOM3OJQpVLUVus/bHolJvLZBndvy1c&#10;sgsjuLQUWu0g/I41zWepquafXVev2fYTiONDOM8Czl/p1umt5AF/HZfyHy969x0AAP//AwBQSwME&#10;FAAGAAgAAAAhACm5/6fhAAAACgEAAA8AAABkcnMvZG93bnJldi54bWxMjzFPwzAQhXck/oN1SGyt&#10;UwhNCXGqFgkG1IEGFjY3PuK08TmK3Tb8e64TTKe79/Tue8VydJ044RBaTwpm0wQEUu1NS42Cz4+X&#10;yQJEiJqM7jyhgh8MsCyvrwqdG3+mLZ6q2AgOoZBrBTbGPpcy1BadDlPfI7H27QenI69DI82gzxzu&#10;OnmXJHPpdEv8weoeny3Wh+roFBy2+/1qvvl6fb8P6/Vbbyv0WCl1ezOunkBEHOOfGS74jA4lM+38&#10;kUwQnYJJylUiz9kiA8GGx+whBbG7XLIUZFnI/xXKXwAAAP//AwBQSwECLQAUAAYACAAAACEAtoM4&#10;kv4AAADhAQAAEwAAAAAAAAAAAAAAAAAAAAAAW0NvbnRlbnRfVHlwZXNdLnhtbFBLAQItABQABgAI&#10;AAAAIQA4/SH/1gAAAJQBAAALAAAAAAAAAAAAAAAAAC8BAABfcmVscy8ucmVsc1BLAQItABQABgAI&#10;AAAAIQDU+Gu/3QEAABkEAAAOAAAAAAAAAAAAAAAAAC4CAABkcnMvZTJvRG9jLnhtbFBLAQItABQA&#10;BgAIAAAAIQApuf+n4QAAAAoBAAAPAAAAAAAAAAAAAAAAADcEAABkcnMvZG93bnJldi54bWxQSwUG&#10;AAAAAAQABADzAAAARQUAAAAA&#10;" strokecolor="#243f60 [1604]">
          <o:lock v:ext="edit" shapetype="f"/>
        </v:line>
      </w:pict>
    </w:r>
  </w:p>
  <w:p w14:paraId="01C935C9" w14:textId="77777777" w:rsidR="00782E26" w:rsidRDefault="00782E26" w:rsidP="00782E26">
    <w:pPr>
      <w:pStyle w:val="Footer"/>
      <w:tabs>
        <w:tab w:val="clear" w:pos="4680"/>
        <w:tab w:val="clear" w:pos="9360"/>
        <w:tab w:val="left" w:pos="6040"/>
      </w:tabs>
    </w:pPr>
    <w:r>
      <w:tab/>
    </w:r>
  </w:p>
  <w:p w14:paraId="1F211A3E" w14:textId="77777777" w:rsidR="00782E26" w:rsidRDefault="00782E26" w:rsidP="00782E26">
    <w:pPr>
      <w:pStyle w:val="Footer"/>
    </w:pPr>
  </w:p>
  <w:p w14:paraId="53F8752C" w14:textId="77777777" w:rsidR="00782E26" w:rsidRPr="007A3224" w:rsidRDefault="00782E26" w:rsidP="00782E26">
    <w:pPr>
      <w:pStyle w:val="Footer"/>
    </w:pPr>
  </w:p>
  <w:p w14:paraId="2D8E8C99" w14:textId="77777777" w:rsidR="008379B6" w:rsidRPr="00782E26" w:rsidRDefault="008379B6" w:rsidP="00782E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D8AA87" w14:textId="77777777" w:rsidR="00046DB0" w:rsidRDefault="00046DB0" w:rsidP="008F7CBB">
      <w:r>
        <w:separator/>
      </w:r>
    </w:p>
  </w:footnote>
  <w:footnote w:type="continuationSeparator" w:id="0">
    <w:p w14:paraId="6E15816E" w14:textId="77777777" w:rsidR="00046DB0" w:rsidRDefault="00046DB0" w:rsidP="008F7C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26F61" w14:textId="1A1AD157" w:rsidR="00F76DE9" w:rsidRPr="009913C8" w:rsidRDefault="001A473A" w:rsidP="00F76DE9">
    <w:pPr>
      <w:autoSpaceDE w:val="0"/>
      <w:autoSpaceDN w:val="0"/>
      <w:adjustRightInd w:val="0"/>
      <w:spacing w:line="276" w:lineRule="auto"/>
      <w:jc w:val="center"/>
      <w:rPr>
        <w:rFonts w:ascii="Sylfaen" w:hAnsi="Sylfaen"/>
        <w:sz w:val="20"/>
        <w:szCs w:val="20"/>
      </w:rPr>
    </w:pPr>
    <w:r w:rsidRPr="001A473A">
      <w:rPr>
        <w:rFonts w:ascii="Sylfaen" w:hAnsi="Sylfaen"/>
        <w:sz w:val="20"/>
        <w:szCs w:val="20"/>
      </w:rPr>
      <w:t xml:space="preserve">Kumari Puja </w:t>
    </w:r>
    <w:proofErr w:type="spellStart"/>
    <w:r w:rsidRPr="001A473A">
      <w:rPr>
        <w:rFonts w:ascii="Sylfaen" w:hAnsi="Sylfaen"/>
        <w:sz w:val="20"/>
        <w:szCs w:val="20"/>
      </w:rPr>
      <w:t>Kanakshi</w:t>
    </w:r>
    <w:proofErr w:type="spellEnd"/>
    <w:r w:rsidRPr="001A473A">
      <w:rPr>
        <w:rFonts w:ascii="Sylfaen" w:hAnsi="Sylfaen"/>
        <w:sz w:val="20"/>
        <w:szCs w:val="20"/>
      </w:rPr>
      <w:t xml:space="preserve"> Thakor </w:t>
    </w:r>
    <w:r w:rsidR="00AC36FB">
      <w:rPr>
        <w:rFonts w:ascii="Sylfaen" w:hAnsi="Sylfaen"/>
        <w:sz w:val="20"/>
        <w:szCs w:val="20"/>
      </w:rPr>
      <w:t xml:space="preserve">et al </w:t>
    </w:r>
    <w:r w:rsidR="00F76DE9" w:rsidRPr="00744261">
      <w:rPr>
        <w:rFonts w:ascii="Sylfaen" w:hAnsi="Sylfaen"/>
        <w:sz w:val="20"/>
        <w:szCs w:val="20"/>
      </w:rPr>
      <w:t xml:space="preserve">Int J Sci Res Sci &amp; Technol. </w:t>
    </w:r>
    <w:r w:rsidR="00026DDA" w:rsidRPr="00026DDA">
      <w:rPr>
        <w:rFonts w:ascii="Sylfaen" w:hAnsi="Sylfaen"/>
        <w:sz w:val="20"/>
        <w:szCs w:val="20"/>
      </w:rPr>
      <w:t>July-August</w:t>
    </w:r>
    <w:r w:rsidR="00136B38" w:rsidRPr="00AC36FB">
      <w:rPr>
        <w:rFonts w:ascii="Sylfaen" w:hAnsi="Sylfaen"/>
        <w:sz w:val="20"/>
        <w:szCs w:val="20"/>
      </w:rPr>
      <w:t>-2025, 12 (</w:t>
    </w:r>
    <w:r w:rsidR="00026DDA">
      <w:rPr>
        <w:rFonts w:ascii="Sylfaen" w:hAnsi="Sylfaen"/>
        <w:sz w:val="20"/>
        <w:szCs w:val="20"/>
      </w:rPr>
      <w:t>4</w:t>
    </w:r>
    <w:r w:rsidR="00136B38" w:rsidRPr="00AC36FB">
      <w:rPr>
        <w:rFonts w:ascii="Sylfaen" w:hAnsi="Sylfaen"/>
        <w:sz w:val="20"/>
        <w:szCs w:val="20"/>
      </w:rPr>
      <w:t xml:space="preserve">) : </w:t>
    </w:r>
    <w:r w:rsidR="0067547E" w:rsidRPr="0067547E">
      <w:rPr>
        <w:rFonts w:ascii="Sylfaen" w:hAnsi="Sylfaen"/>
        <w:sz w:val="20"/>
        <w:szCs w:val="20"/>
      </w:rPr>
      <w:t>466-474</w:t>
    </w:r>
  </w:p>
  <w:p w14:paraId="3FFD254C" w14:textId="77777777" w:rsidR="00744261" w:rsidRPr="00744261" w:rsidRDefault="00744261" w:rsidP="00DB2633">
    <w:pPr>
      <w:pStyle w:val="Header"/>
      <w:jc w:val="center"/>
      <w:rPr>
        <w:rFonts w:ascii="Sylfaen" w:hAnsi="Sylfae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4F75C" w14:textId="77777777" w:rsidR="007A681E" w:rsidRDefault="007A681E" w:rsidP="007A681E">
    <w:pPr>
      <w:pStyle w:val="Header"/>
      <w:rPr>
        <w:iCs/>
        <w:sz w:val="22"/>
        <w:szCs w:val="22"/>
      </w:rPr>
    </w:pPr>
  </w:p>
  <w:p w14:paraId="09E24FB1" w14:textId="77777777" w:rsidR="007A681E" w:rsidRDefault="007A681E" w:rsidP="007A681E">
    <w:pPr>
      <w:pStyle w:val="Header"/>
      <w:rPr>
        <w:iCs/>
        <w:sz w:val="22"/>
        <w:szCs w:val="22"/>
      </w:rPr>
    </w:pPr>
  </w:p>
  <w:tbl>
    <w:tblPr>
      <w:tblStyle w:val="GridTable1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
      <w:gridCol w:w="8488"/>
      <w:gridCol w:w="1094"/>
    </w:tblGrid>
    <w:tr w:rsidR="007A681E" w14:paraId="302853DD" w14:textId="77777777" w:rsidTr="008955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Borders>
            <w:bottom w:val="none" w:sz="0" w:space="0" w:color="auto"/>
          </w:tcBorders>
        </w:tcPr>
        <w:p w14:paraId="4A17EB34" w14:textId="77777777" w:rsidR="007A681E" w:rsidRPr="00A3295B" w:rsidRDefault="007A681E" w:rsidP="007A681E">
          <w:pPr>
            <w:pStyle w:val="IEEETitle"/>
            <w:jc w:val="left"/>
            <w:rPr>
              <w:rFonts w:ascii="Cambria" w:eastAsia="Cambria" w:hAnsi="Cambria" w:cs="Cambria"/>
              <w:b w:val="0"/>
              <w:spacing w:val="-6"/>
              <w:sz w:val="36"/>
              <w:szCs w:val="36"/>
            </w:rPr>
          </w:pPr>
          <w:r w:rsidRPr="00A3295B">
            <w:rPr>
              <w:rFonts w:ascii="Sylfaen" w:hAnsi="Sylfaen"/>
              <w:iCs/>
              <w:noProof/>
              <w:sz w:val="22"/>
              <w:szCs w:val="22"/>
              <w:lang w:val="en-IN" w:eastAsia="en-IN"/>
            </w:rPr>
            <w:drawing>
              <wp:anchor distT="0" distB="0" distL="114300" distR="114300" simplePos="0" relativeHeight="251695104" behindDoc="1" locked="0" layoutInCell="1" allowOverlap="1" wp14:anchorId="4AE77573" wp14:editId="2C919BF0">
                <wp:simplePos x="0" y="0"/>
                <wp:positionH relativeFrom="column">
                  <wp:posOffset>-40005</wp:posOffset>
                </wp:positionH>
                <wp:positionV relativeFrom="paragraph">
                  <wp:posOffset>15875</wp:posOffset>
                </wp:positionV>
                <wp:extent cx="609600" cy="609600"/>
                <wp:effectExtent l="0" t="0" r="0" b="0"/>
                <wp:wrapNone/>
                <wp:docPr id="335823215" name="Picture 33582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488" w:type="dxa"/>
          <w:tcBorders>
            <w:bottom w:val="none" w:sz="0" w:space="0" w:color="auto"/>
          </w:tcBorders>
        </w:tcPr>
        <w:tbl>
          <w:tblPr>
            <w:tblStyle w:val="TableGrid"/>
            <w:tblW w:w="843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4215"/>
            <w:gridCol w:w="4218"/>
          </w:tblGrid>
          <w:tr w:rsidR="007A681E" w:rsidRPr="00A3295B" w14:paraId="3062BF3B" w14:textId="77777777" w:rsidTr="008955F1">
            <w:trPr>
              <w:trHeight w:val="867"/>
            </w:trPr>
            <w:tc>
              <w:tcPr>
                <w:tcW w:w="8433" w:type="dxa"/>
                <w:gridSpan w:val="2"/>
                <w:shd w:val="clear" w:color="auto" w:fill="F2F2F2" w:themeFill="background1" w:themeFillShade="F2"/>
              </w:tcPr>
              <w:p w14:paraId="12A702AF" w14:textId="75A6C43E" w:rsidR="007A681E" w:rsidRPr="00A3295B" w:rsidRDefault="00E72D8C" w:rsidP="007A681E">
                <w:pPr>
                  <w:pStyle w:val="IEEETitle"/>
                  <w:spacing w:line="276" w:lineRule="auto"/>
                  <w:rPr>
                    <w:rFonts w:ascii="Cambria" w:eastAsia="Cambria" w:hAnsi="Cambria" w:cs="Cambria"/>
                    <w:b/>
                    <w:spacing w:val="-6"/>
                    <w:sz w:val="24"/>
                  </w:rPr>
                </w:pPr>
                <w:r>
                  <w:rPr>
                    <w:noProof/>
                    <w:lang w:val="en-IN" w:eastAsia="en-IN"/>
                  </w:rPr>
                  <w:drawing>
                    <wp:anchor distT="0" distB="0" distL="114300" distR="114300" simplePos="0" relativeHeight="251658240" behindDoc="0" locked="0" layoutInCell="1" allowOverlap="1" wp14:anchorId="42451273" wp14:editId="42079C6B">
                      <wp:simplePos x="0" y="0"/>
                      <wp:positionH relativeFrom="column">
                        <wp:posOffset>4151630</wp:posOffset>
                      </wp:positionH>
                      <wp:positionV relativeFrom="paragraph">
                        <wp:posOffset>205105</wp:posOffset>
                      </wp:positionV>
                      <wp:extent cx="719455" cy="287655"/>
                      <wp:effectExtent l="0" t="0" r="0" b="0"/>
                      <wp:wrapNone/>
                      <wp:docPr id="6772567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007A681E" w:rsidRPr="00A3295B">
                  <w:rPr>
                    <w:rFonts w:ascii="Cambria" w:eastAsia="Cambria" w:hAnsi="Cambria" w:cs="Cambria"/>
                    <w:b/>
                    <w:spacing w:val="-6"/>
                    <w:sz w:val="24"/>
                  </w:rPr>
                  <w:t>International Journal of Scientific Research in Science and Technology</w:t>
                </w:r>
              </w:p>
              <w:p w14:paraId="2C1EB06B" w14:textId="4D0C8DBF" w:rsidR="007A681E" w:rsidRPr="00A3295B" w:rsidRDefault="007A681E" w:rsidP="007A681E">
                <w:pPr>
                  <w:pStyle w:val="Header"/>
                  <w:jc w:val="center"/>
                  <w:rPr>
                    <w:rFonts w:ascii="Sylfaen" w:hAnsi="Sylfaen"/>
                    <w:iCs/>
                    <w:sz w:val="18"/>
                    <w:szCs w:val="18"/>
                  </w:rPr>
                </w:pPr>
                <w:r w:rsidRPr="00A3295B">
                  <w:t xml:space="preserve">Available online at : </w:t>
                </w:r>
                <w:r w:rsidRPr="002B019F">
                  <w:rPr>
                    <w:rFonts w:ascii="Sylfaen" w:hAnsi="Sylfaen"/>
                    <w:b/>
                    <w:bCs/>
                    <w:iCs/>
                    <w:color w:val="244061" w:themeColor="accent1" w:themeShade="80"/>
                  </w:rPr>
                  <w:t>www.ijsrst.com</w:t>
                </w:r>
                <w:r w:rsidR="00E72D8C">
                  <w:rPr>
                    <w:rFonts w:ascii="Sylfaen" w:hAnsi="Sylfaen"/>
                    <w:b/>
                    <w:bCs/>
                    <w:iCs/>
                    <w:color w:val="244061" w:themeColor="accent1" w:themeShade="80"/>
                  </w:rPr>
                  <w:t xml:space="preserve"> </w:t>
                </w:r>
              </w:p>
            </w:tc>
          </w:tr>
          <w:tr w:rsidR="007A681E" w:rsidRPr="00A3295B" w14:paraId="573A146F" w14:textId="77777777" w:rsidTr="008955F1">
            <w:trPr>
              <w:trHeight w:val="318"/>
            </w:trPr>
            <w:tc>
              <w:tcPr>
                <w:tcW w:w="4215" w:type="dxa"/>
                <w:shd w:val="clear" w:color="auto" w:fill="F2F2F2" w:themeFill="background1" w:themeFillShade="F2"/>
              </w:tcPr>
              <w:p w14:paraId="574F036A" w14:textId="77777777" w:rsidR="007A681E" w:rsidRPr="00A3295B" w:rsidRDefault="007A681E" w:rsidP="007A681E">
                <w:pPr>
                  <w:pStyle w:val="Header"/>
                  <w:jc w:val="center"/>
                  <w:rPr>
                    <w:sz w:val="18"/>
                    <w:szCs w:val="18"/>
                  </w:rPr>
                </w:pPr>
                <w:r w:rsidRPr="00A3295B">
                  <w:rPr>
                    <w:rFonts w:ascii="Sylfaen" w:hAnsi="Sylfaen"/>
                    <w:iCs/>
                    <w:sz w:val="18"/>
                    <w:szCs w:val="18"/>
                  </w:rPr>
                  <w:t xml:space="preserve">Print ISSN: 2395-6011 | Online ISSN: 2395-602X                                             </w:t>
                </w:r>
              </w:p>
            </w:tc>
            <w:tc>
              <w:tcPr>
                <w:tcW w:w="4217" w:type="dxa"/>
                <w:shd w:val="clear" w:color="auto" w:fill="F2F2F2" w:themeFill="background1" w:themeFillShade="F2"/>
              </w:tcPr>
              <w:p w14:paraId="0D42D034" w14:textId="5FC388E6" w:rsidR="007A681E" w:rsidRPr="00B126A9" w:rsidRDefault="007A681E" w:rsidP="007A681E">
                <w:pPr>
                  <w:pStyle w:val="Header"/>
                  <w:jc w:val="right"/>
                  <w:rPr>
                    <w:sz w:val="20"/>
                    <w:szCs w:val="20"/>
                  </w:rPr>
                </w:pPr>
                <w:proofErr w:type="spellStart"/>
                <w:r w:rsidRPr="00B126A9">
                  <w:rPr>
                    <w:rFonts w:ascii="Sylfaen" w:hAnsi="Sylfaen"/>
                    <w:iCs/>
                    <w:sz w:val="20"/>
                    <w:szCs w:val="20"/>
                  </w:rPr>
                  <w:t>doi</w:t>
                </w:r>
                <w:proofErr w:type="spellEnd"/>
                <w:r w:rsidRPr="00B126A9">
                  <w:rPr>
                    <w:rFonts w:ascii="Sylfaen" w:hAnsi="Sylfaen"/>
                    <w:iCs/>
                    <w:sz w:val="20"/>
                    <w:szCs w:val="20"/>
                  </w:rPr>
                  <w:t xml:space="preserve"> : </w:t>
                </w:r>
                <w:r w:rsidR="00B126A9" w:rsidRPr="00B126A9">
                  <w:rPr>
                    <w:rFonts w:ascii="Sylfaen" w:hAnsi="Sylfaen"/>
                    <w:sz w:val="20"/>
                    <w:szCs w:val="20"/>
                  </w:rPr>
                  <w:t>https://doi.org/10.32628/</w:t>
                </w:r>
                <w:r w:rsidR="00A5310F" w:rsidRPr="00A5310F">
                  <w:rPr>
                    <w:rFonts w:ascii="Sylfaen" w:hAnsi="Sylfaen"/>
                    <w:sz w:val="20"/>
                    <w:szCs w:val="20"/>
                  </w:rPr>
                  <w:t>IJSRST251312</w:t>
                </w:r>
              </w:p>
            </w:tc>
          </w:tr>
        </w:tbl>
        <w:p w14:paraId="6A2ED358" w14:textId="77777777" w:rsidR="007A681E" w:rsidRPr="00A3295B" w:rsidRDefault="007A681E" w:rsidP="007A681E">
          <w:pPr>
            <w:pStyle w:val="Header"/>
            <w:jc w:val="center"/>
            <w:cnfStyle w:val="100000000000" w:firstRow="1" w:lastRow="0" w:firstColumn="0" w:lastColumn="0" w:oddVBand="0" w:evenVBand="0" w:oddHBand="0" w:evenHBand="0" w:firstRowFirstColumn="0" w:firstRowLastColumn="0" w:lastRowFirstColumn="0" w:lastRowLastColumn="0"/>
          </w:pPr>
        </w:p>
      </w:tc>
      <w:tc>
        <w:tcPr>
          <w:tcW w:w="1094" w:type="dxa"/>
          <w:tcBorders>
            <w:bottom w:val="none" w:sz="0" w:space="0" w:color="auto"/>
          </w:tcBorders>
        </w:tcPr>
        <w:p w14:paraId="216EBBD3" w14:textId="77777777" w:rsidR="007A681E" w:rsidRDefault="007A681E" w:rsidP="007A681E">
          <w:pPr>
            <w:pStyle w:val="IEEETitle"/>
            <w:cnfStyle w:val="100000000000" w:firstRow="1" w:lastRow="0" w:firstColumn="0" w:lastColumn="0" w:oddVBand="0" w:evenVBand="0" w:oddHBand="0" w:evenHBand="0" w:firstRowFirstColumn="0" w:firstRowLastColumn="0" w:lastRowFirstColumn="0" w:lastRowLastColumn="0"/>
            <w:rPr>
              <w:rFonts w:ascii="Cambria" w:eastAsia="Cambria" w:hAnsi="Cambria" w:cs="Cambria"/>
              <w:b w:val="0"/>
              <w:spacing w:val="-6"/>
              <w:sz w:val="36"/>
              <w:szCs w:val="36"/>
            </w:rPr>
          </w:pPr>
          <w:r w:rsidRPr="00A3295B">
            <w:rPr>
              <w:noProof/>
              <w:lang w:val="en-IN" w:eastAsia="en-IN"/>
            </w:rPr>
            <w:drawing>
              <wp:inline distT="0" distB="0" distL="0" distR="0" wp14:anchorId="691813E3" wp14:editId="5BBFD32A">
                <wp:extent cx="549729" cy="724126"/>
                <wp:effectExtent l="0" t="0" r="0" b="0"/>
                <wp:docPr id="1635795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6850" cy="733506"/>
                        </a:xfrm>
                        <a:prstGeom prst="rect">
                          <a:avLst/>
                        </a:prstGeom>
                        <a:noFill/>
                        <a:ln>
                          <a:noFill/>
                        </a:ln>
                      </pic:spPr>
                    </pic:pic>
                  </a:graphicData>
                </a:graphic>
              </wp:inline>
            </w:drawing>
          </w:r>
        </w:p>
      </w:tc>
    </w:tr>
  </w:tbl>
  <w:p w14:paraId="2CF29171" w14:textId="77777777" w:rsidR="00ED7D1D" w:rsidRPr="007A681E" w:rsidRDefault="00ED7D1D" w:rsidP="007A68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298F1C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5"/>
    <w:multiLevelType w:val="singleLevel"/>
    <w:tmpl w:val="00000005"/>
    <w:name w:val="WW8Num5"/>
    <w:lvl w:ilvl="0">
      <w:start w:val="1"/>
      <w:numFmt w:val="decimal"/>
      <w:lvlText w:val="%1."/>
      <w:lvlJc w:val="left"/>
      <w:pPr>
        <w:tabs>
          <w:tab w:val="num" w:pos="720"/>
        </w:tabs>
        <w:ind w:left="720" w:hanging="360"/>
      </w:pPr>
    </w:lvl>
  </w:abstractNum>
  <w:abstractNum w:abstractNumId="3" w15:restartNumberingAfterBreak="0">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000000A"/>
    <w:multiLevelType w:val="multilevel"/>
    <w:tmpl w:val="0000000A"/>
    <w:name w:val="WW8Num10"/>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5135D6C"/>
    <w:multiLevelType w:val="multilevel"/>
    <w:tmpl w:val="8EE0B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812C0E"/>
    <w:multiLevelType w:val="multilevel"/>
    <w:tmpl w:val="BF8E2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5F7ED4"/>
    <w:multiLevelType w:val="hybridMultilevel"/>
    <w:tmpl w:val="118EC022"/>
    <w:lvl w:ilvl="0" w:tplc="6C54738C">
      <w:start w:val="1"/>
      <w:numFmt w:val="upperRoman"/>
      <w:lvlText w:val="%1."/>
      <w:lvlJc w:val="left"/>
      <w:pPr>
        <w:ind w:left="2610" w:hanging="720"/>
      </w:pPr>
      <w:rPr>
        <w:rFonts w:asciiTheme="majorHAnsi" w:hAnsiTheme="majorHAnsi" w:hint="default"/>
        <w:b/>
        <w:sz w:val="22"/>
        <w:szCs w:val="22"/>
      </w:rPr>
    </w:lvl>
    <w:lvl w:ilvl="1" w:tplc="C4AA4DB8">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7A4D7D"/>
    <w:multiLevelType w:val="hybridMultilevel"/>
    <w:tmpl w:val="C45A4CAC"/>
    <w:lvl w:ilvl="0" w:tplc="ABEE7900">
      <w:start w:val="1"/>
      <w:numFmt w:val="upperLetter"/>
      <w:lvlRestart w:val="0"/>
      <w:lvlText w:val="%1)"/>
      <w:lvlJc w:val="left"/>
      <w:pPr>
        <w:tabs>
          <w:tab w:val="num" w:pos="0"/>
        </w:tabs>
        <w:ind w:left="720" w:hanging="360"/>
      </w:pPr>
      <w:rPr>
        <w:rFonts w:hint="default"/>
      </w:rPr>
    </w:lvl>
    <w:lvl w:ilvl="1" w:tplc="82B847A6">
      <w:start w:val="1"/>
      <w:numFmt w:val="lowerLetter"/>
      <w:lvlText w:val="%2."/>
      <w:lvlJc w:val="left"/>
      <w:pPr>
        <w:tabs>
          <w:tab w:val="num" w:pos="0"/>
        </w:tabs>
        <w:ind w:left="1440" w:hanging="360"/>
      </w:pPr>
    </w:lvl>
    <w:lvl w:ilvl="2" w:tplc="43964AD4">
      <w:start w:val="1"/>
      <w:numFmt w:val="lowerRoman"/>
      <w:lvlText w:val="%3."/>
      <w:lvlJc w:val="right"/>
      <w:pPr>
        <w:tabs>
          <w:tab w:val="num" w:pos="0"/>
        </w:tabs>
        <w:ind w:left="2160" w:hanging="180"/>
      </w:pPr>
    </w:lvl>
    <w:lvl w:ilvl="3" w:tplc="04CC5D28">
      <w:start w:val="1"/>
      <w:numFmt w:val="decimal"/>
      <w:lvlText w:val="%4."/>
      <w:lvlJc w:val="left"/>
      <w:pPr>
        <w:tabs>
          <w:tab w:val="num" w:pos="0"/>
        </w:tabs>
        <w:ind w:left="2880" w:hanging="360"/>
      </w:pPr>
    </w:lvl>
    <w:lvl w:ilvl="4" w:tplc="60B46E62">
      <w:start w:val="1"/>
      <w:numFmt w:val="lowerLetter"/>
      <w:lvlText w:val="%5."/>
      <w:lvlJc w:val="left"/>
      <w:pPr>
        <w:tabs>
          <w:tab w:val="num" w:pos="0"/>
        </w:tabs>
        <w:ind w:left="3600" w:hanging="360"/>
      </w:pPr>
    </w:lvl>
    <w:lvl w:ilvl="5" w:tplc="130E43E2">
      <w:start w:val="1"/>
      <w:numFmt w:val="lowerRoman"/>
      <w:lvlText w:val="%6."/>
      <w:lvlJc w:val="right"/>
      <w:pPr>
        <w:tabs>
          <w:tab w:val="num" w:pos="0"/>
        </w:tabs>
        <w:ind w:left="4320" w:hanging="180"/>
      </w:pPr>
    </w:lvl>
    <w:lvl w:ilvl="6" w:tplc="B822A9D2">
      <w:start w:val="1"/>
      <w:numFmt w:val="decimal"/>
      <w:lvlText w:val="%7."/>
      <w:lvlJc w:val="left"/>
      <w:pPr>
        <w:tabs>
          <w:tab w:val="num" w:pos="0"/>
        </w:tabs>
        <w:ind w:left="5040" w:hanging="360"/>
      </w:pPr>
    </w:lvl>
    <w:lvl w:ilvl="7" w:tplc="58F4F36C">
      <w:start w:val="1"/>
      <w:numFmt w:val="lowerLetter"/>
      <w:lvlText w:val="%8."/>
      <w:lvlJc w:val="left"/>
      <w:pPr>
        <w:tabs>
          <w:tab w:val="num" w:pos="0"/>
        </w:tabs>
        <w:ind w:left="5760" w:hanging="360"/>
      </w:pPr>
    </w:lvl>
    <w:lvl w:ilvl="8" w:tplc="FC26E1AE">
      <w:start w:val="1"/>
      <w:numFmt w:val="lowerRoman"/>
      <w:lvlText w:val="%9."/>
      <w:lvlJc w:val="right"/>
      <w:pPr>
        <w:tabs>
          <w:tab w:val="num" w:pos="0"/>
        </w:tabs>
        <w:ind w:left="6480" w:hanging="180"/>
      </w:pPr>
    </w:lvl>
  </w:abstractNum>
  <w:abstractNum w:abstractNumId="10" w15:restartNumberingAfterBreak="0">
    <w:nsid w:val="239669F7"/>
    <w:multiLevelType w:val="hybridMultilevel"/>
    <w:tmpl w:val="2708B520"/>
    <w:lvl w:ilvl="0" w:tplc="BE4E5A22">
      <w:start w:val="1"/>
      <w:numFmt w:val="lowerLetter"/>
      <w:lvlRestart w:val="0"/>
      <w:lvlText w:val="%1)"/>
      <w:lvlJc w:val="left"/>
      <w:pPr>
        <w:tabs>
          <w:tab w:val="num" w:pos="0"/>
        </w:tabs>
        <w:ind w:left="1440" w:hanging="360"/>
      </w:pPr>
      <w:rPr>
        <w:rFonts w:hint="default"/>
      </w:rPr>
    </w:lvl>
    <w:lvl w:ilvl="1" w:tplc="5B4A9EA8">
      <w:start w:val="1"/>
      <w:numFmt w:val="lowerLetter"/>
      <w:lvlText w:val="%2."/>
      <w:lvlJc w:val="left"/>
      <w:pPr>
        <w:tabs>
          <w:tab w:val="num" w:pos="0"/>
        </w:tabs>
        <w:ind w:left="2160" w:hanging="360"/>
      </w:pPr>
    </w:lvl>
    <w:lvl w:ilvl="2" w:tplc="43243CEA">
      <w:start w:val="1"/>
      <w:numFmt w:val="lowerRoman"/>
      <w:lvlText w:val="%3."/>
      <w:lvlJc w:val="right"/>
      <w:pPr>
        <w:tabs>
          <w:tab w:val="num" w:pos="0"/>
        </w:tabs>
        <w:ind w:left="2880" w:hanging="180"/>
      </w:pPr>
    </w:lvl>
    <w:lvl w:ilvl="3" w:tplc="34B2EC0C">
      <w:start w:val="1"/>
      <w:numFmt w:val="decimal"/>
      <w:lvlText w:val="%4."/>
      <w:lvlJc w:val="left"/>
      <w:pPr>
        <w:tabs>
          <w:tab w:val="num" w:pos="0"/>
        </w:tabs>
        <w:ind w:left="3600" w:hanging="360"/>
      </w:pPr>
    </w:lvl>
    <w:lvl w:ilvl="4" w:tplc="4C04C9D2">
      <w:start w:val="1"/>
      <w:numFmt w:val="lowerLetter"/>
      <w:lvlText w:val="%5."/>
      <w:lvlJc w:val="left"/>
      <w:pPr>
        <w:tabs>
          <w:tab w:val="num" w:pos="0"/>
        </w:tabs>
        <w:ind w:left="4320" w:hanging="360"/>
      </w:pPr>
    </w:lvl>
    <w:lvl w:ilvl="5" w:tplc="0490858E">
      <w:start w:val="1"/>
      <w:numFmt w:val="lowerRoman"/>
      <w:lvlText w:val="%6."/>
      <w:lvlJc w:val="right"/>
      <w:pPr>
        <w:tabs>
          <w:tab w:val="num" w:pos="0"/>
        </w:tabs>
        <w:ind w:left="5040" w:hanging="180"/>
      </w:pPr>
    </w:lvl>
    <w:lvl w:ilvl="6" w:tplc="F894EF7A">
      <w:start w:val="1"/>
      <w:numFmt w:val="decimal"/>
      <w:lvlText w:val="%7."/>
      <w:lvlJc w:val="left"/>
      <w:pPr>
        <w:tabs>
          <w:tab w:val="num" w:pos="0"/>
        </w:tabs>
        <w:ind w:left="5760" w:hanging="360"/>
      </w:pPr>
    </w:lvl>
    <w:lvl w:ilvl="7" w:tplc="D3120608">
      <w:start w:val="1"/>
      <w:numFmt w:val="lowerLetter"/>
      <w:lvlText w:val="%8."/>
      <w:lvlJc w:val="left"/>
      <w:pPr>
        <w:tabs>
          <w:tab w:val="num" w:pos="0"/>
        </w:tabs>
        <w:ind w:left="6480" w:hanging="360"/>
      </w:pPr>
    </w:lvl>
    <w:lvl w:ilvl="8" w:tplc="9B6C1692">
      <w:start w:val="1"/>
      <w:numFmt w:val="lowerRoman"/>
      <w:lvlText w:val="%9."/>
      <w:lvlJc w:val="right"/>
      <w:pPr>
        <w:tabs>
          <w:tab w:val="num" w:pos="0"/>
        </w:tabs>
        <w:ind w:left="7200" w:hanging="180"/>
      </w:pPr>
    </w:lvl>
  </w:abstractNum>
  <w:abstractNum w:abstractNumId="11" w15:restartNumberingAfterBreak="0">
    <w:nsid w:val="24CD188B"/>
    <w:multiLevelType w:val="hybridMultilevel"/>
    <w:tmpl w:val="97AADE7A"/>
    <w:lvl w:ilvl="0" w:tplc="5E5C472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2A9C6305"/>
    <w:multiLevelType w:val="hybridMultilevel"/>
    <w:tmpl w:val="5C6AD566"/>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B855861"/>
    <w:multiLevelType w:val="multilevel"/>
    <w:tmpl w:val="802488F2"/>
    <w:lvl w:ilvl="0">
      <w:start w:val="1"/>
      <w:numFmt w:val="decimal"/>
      <w:pStyle w:val="IEEEReferenceItem"/>
      <w:lvlText w:val="[%1]"/>
      <w:lvlJc w:val="right"/>
      <w:pPr>
        <w:tabs>
          <w:tab w:val="num" w:pos="432"/>
        </w:tabs>
        <w:ind w:left="432" w:hanging="144"/>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5" w15:restartNumberingAfterBreak="0">
    <w:nsid w:val="2DA24D9A"/>
    <w:multiLevelType w:val="hybridMultilevel"/>
    <w:tmpl w:val="B2C0E9F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7" w15:restartNumberingAfterBreak="0">
    <w:nsid w:val="48FC20F2"/>
    <w:multiLevelType w:val="hybridMultilevel"/>
    <w:tmpl w:val="2D4ABE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4DC95CAB"/>
    <w:multiLevelType w:val="hybridMultilevel"/>
    <w:tmpl w:val="8AC89432"/>
    <w:lvl w:ilvl="0" w:tplc="652A7AC0">
      <w:start w:val="1"/>
      <w:numFmt w:val="decimal"/>
      <w:lvlText w:val="3.%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EA965C7"/>
    <w:multiLevelType w:val="multilevel"/>
    <w:tmpl w:val="9648C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D63E8F"/>
    <w:multiLevelType w:val="hybridMultilevel"/>
    <w:tmpl w:val="7E9CA930"/>
    <w:lvl w:ilvl="0" w:tplc="5EE25F5E">
      <w:start w:val="1"/>
      <w:numFmt w:val="upperRoman"/>
      <w:lvlRestart w:val="0"/>
      <w:lvlText w:val="%1."/>
      <w:lvlJc w:val="left"/>
      <w:pPr>
        <w:tabs>
          <w:tab w:val="num" w:pos="0"/>
        </w:tabs>
        <w:ind w:left="1080" w:hanging="720"/>
      </w:pPr>
      <w:rPr>
        <w:rFonts w:hint="default"/>
      </w:rPr>
    </w:lvl>
    <w:lvl w:ilvl="1" w:tplc="EE0CD738">
      <w:start w:val="1"/>
      <w:numFmt w:val="lowerLetter"/>
      <w:lvlText w:val="%2."/>
      <w:lvlJc w:val="left"/>
      <w:pPr>
        <w:tabs>
          <w:tab w:val="num" w:pos="0"/>
        </w:tabs>
        <w:ind w:left="1440" w:hanging="360"/>
      </w:pPr>
    </w:lvl>
    <w:lvl w:ilvl="2" w:tplc="30C69488">
      <w:start w:val="1"/>
      <w:numFmt w:val="lowerRoman"/>
      <w:lvlText w:val="%3."/>
      <w:lvlJc w:val="right"/>
      <w:pPr>
        <w:tabs>
          <w:tab w:val="num" w:pos="0"/>
        </w:tabs>
        <w:ind w:left="2160" w:hanging="180"/>
      </w:pPr>
    </w:lvl>
    <w:lvl w:ilvl="3" w:tplc="AC721D6E">
      <w:start w:val="1"/>
      <w:numFmt w:val="decimal"/>
      <w:lvlText w:val="%4."/>
      <w:lvlJc w:val="left"/>
      <w:pPr>
        <w:tabs>
          <w:tab w:val="num" w:pos="0"/>
        </w:tabs>
        <w:ind w:left="2880" w:hanging="360"/>
      </w:pPr>
    </w:lvl>
    <w:lvl w:ilvl="4" w:tplc="874A9B4E">
      <w:start w:val="1"/>
      <w:numFmt w:val="lowerLetter"/>
      <w:lvlText w:val="%5."/>
      <w:lvlJc w:val="left"/>
      <w:pPr>
        <w:tabs>
          <w:tab w:val="num" w:pos="0"/>
        </w:tabs>
        <w:ind w:left="3600" w:hanging="360"/>
      </w:pPr>
    </w:lvl>
    <w:lvl w:ilvl="5" w:tplc="7D54632E">
      <w:start w:val="1"/>
      <w:numFmt w:val="lowerRoman"/>
      <w:lvlText w:val="%6."/>
      <w:lvlJc w:val="right"/>
      <w:pPr>
        <w:tabs>
          <w:tab w:val="num" w:pos="0"/>
        </w:tabs>
        <w:ind w:left="4320" w:hanging="180"/>
      </w:pPr>
    </w:lvl>
    <w:lvl w:ilvl="6" w:tplc="6680BBB6">
      <w:start w:val="1"/>
      <w:numFmt w:val="decimal"/>
      <w:lvlText w:val="%7."/>
      <w:lvlJc w:val="left"/>
      <w:pPr>
        <w:tabs>
          <w:tab w:val="num" w:pos="0"/>
        </w:tabs>
        <w:ind w:left="5040" w:hanging="360"/>
      </w:pPr>
    </w:lvl>
    <w:lvl w:ilvl="7" w:tplc="BC127BF8">
      <w:start w:val="1"/>
      <w:numFmt w:val="lowerLetter"/>
      <w:lvlText w:val="%8."/>
      <w:lvlJc w:val="left"/>
      <w:pPr>
        <w:tabs>
          <w:tab w:val="num" w:pos="0"/>
        </w:tabs>
        <w:ind w:left="5760" w:hanging="360"/>
      </w:pPr>
    </w:lvl>
    <w:lvl w:ilvl="8" w:tplc="7384000A">
      <w:start w:val="1"/>
      <w:numFmt w:val="lowerRoman"/>
      <w:lvlText w:val="%9."/>
      <w:lvlJc w:val="right"/>
      <w:pPr>
        <w:tabs>
          <w:tab w:val="num" w:pos="0"/>
        </w:tabs>
        <w:ind w:left="6480" w:hanging="180"/>
      </w:pPr>
    </w:lvl>
  </w:abstractNum>
  <w:abstractNum w:abstractNumId="22" w15:restartNumberingAfterBreak="0">
    <w:nsid w:val="50232215"/>
    <w:multiLevelType w:val="multilevel"/>
    <w:tmpl w:val="98707A5A"/>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bCs w:val="0"/>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52CA544A"/>
    <w:multiLevelType w:val="singleLevel"/>
    <w:tmpl w:val="FBACBFF6"/>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8"/>
        <w:szCs w:val="18"/>
      </w:rPr>
    </w:lvl>
  </w:abstractNum>
  <w:abstractNum w:abstractNumId="24" w15:restartNumberingAfterBreak="0">
    <w:nsid w:val="623318D8"/>
    <w:multiLevelType w:val="hybridMultilevel"/>
    <w:tmpl w:val="B450E8D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9A282B"/>
    <w:multiLevelType w:val="multilevel"/>
    <w:tmpl w:val="6C08CE8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7" w15:restartNumberingAfterBreak="0">
    <w:nsid w:val="735007DB"/>
    <w:multiLevelType w:val="multilevel"/>
    <w:tmpl w:val="13F4E9A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75C007A1"/>
    <w:multiLevelType w:val="hybridMultilevel"/>
    <w:tmpl w:val="B4C439BC"/>
    <w:lvl w:ilvl="0" w:tplc="44D639C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141BFE"/>
    <w:multiLevelType w:val="hybridMultilevel"/>
    <w:tmpl w:val="F04C428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0" w15:restartNumberingAfterBreak="0">
    <w:nsid w:val="7A590C86"/>
    <w:multiLevelType w:val="hybridMultilevel"/>
    <w:tmpl w:val="340AC80C"/>
    <w:lvl w:ilvl="0" w:tplc="C81A069C">
      <w:start w:val="1"/>
      <w:numFmt w:val="decimal"/>
      <w:lvlText w:val="3.2.%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7538837">
    <w:abstractNumId w:val="26"/>
  </w:num>
  <w:num w:numId="2" w16cid:durableId="142819988">
    <w:abstractNumId w:val="22"/>
  </w:num>
  <w:num w:numId="3" w16cid:durableId="110784563">
    <w:abstractNumId w:val="18"/>
  </w:num>
  <w:num w:numId="4" w16cid:durableId="2081639286">
    <w:abstractNumId w:val="5"/>
  </w:num>
  <w:num w:numId="5" w16cid:durableId="1860777677">
    <w:abstractNumId w:val="14"/>
  </w:num>
  <w:num w:numId="6" w16cid:durableId="2144342548">
    <w:abstractNumId w:val="12"/>
  </w:num>
  <w:num w:numId="7" w16cid:durableId="2018269639">
    <w:abstractNumId w:val="16"/>
  </w:num>
  <w:num w:numId="8" w16cid:durableId="2027169241">
    <w:abstractNumId w:val="23"/>
  </w:num>
  <w:num w:numId="9" w16cid:durableId="4212227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60142820">
    <w:abstractNumId w:val="8"/>
  </w:num>
  <w:num w:numId="11" w16cid:durableId="1887330323">
    <w:abstractNumId w:val="28"/>
  </w:num>
  <w:num w:numId="12" w16cid:durableId="884758123">
    <w:abstractNumId w:val="0"/>
  </w:num>
  <w:num w:numId="13" w16cid:durableId="67530119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56745542">
    <w:abstractNumId w:val="21"/>
  </w:num>
  <w:num w:numId="15" w16cid:durableId="2515502">
    <w:abstractNumId w:val="9"/>
  </w:num>
  <w:num w:numId="16" w16cid:durableId="1678730474">
    <w:abstractNumId w:val="10"/>
  </w:num>
  <w:num w:numId="17" w16cid:durableId="832069519">
    <w:abstractNumId w:val="25"/>
  </w:num>
  <w:num w:numId="18" w16cid:durableId="2083675436">
    <w:abstractNumId w:val="15"/>
  </w:num>
  <w:num w:numId="19" w16cid:durableId="240063585">
    <w:abstractNumId w:val="13"/>
  </w:num>
  <w:num w:numId="20" w16cid:durableId="1896623824">
    <w:abstractNumId w:val="17"/>
  </w:num>
  <w:num w:numId="21" w16cid:durableId="1208840286">
    <w:abstractNumId w:val="19"/>
  </w:num>
  <w:num w:numId="22" w16cid:durableId="1872954854">
    <w:abstractNumId w:val="30"/>
  </w:num>
  <w:num w:numId="23" w16cid:durableId="184564113">
    <w:abstractNumId w:val="20"/>
  </w:num>
  <w:num w:numId="24" w16cid:durableId="1992824443">
    <w:abstractNumId w:val="24"/>
  </w:num>
  <w:num w:numId="25" w16cid:durableId="967130494">
    <w:abstractNumId w:val="27"/>
  </w:num>
  <w:num w:numId="26" w16cid:durableId="1409232187">
    <w:abstractNumId w:val="6"/>
  </w:num>
  <w:num w:numId="27" w16cid:durableId="293020409">
    <w:abstractNumId w:val="7"/>
  </w:num>
  <w:num w:numId="28" w16cid:durableId="1671907089">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MY" w:vendorID="64" w:dllVersion="6" w:nlCheck="1" w:checkStyle="1"/>
  <w:activeWritingStyle w:appName="MSWord" w:lang="en-IN"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IN" w:vendorID="64" w:dllVersion="4096" w:nlCheck="1" w:checkStyle="0"/>
  <w:activeWritingStyle w:appName="MSWord" w:lang="en-US" w:vendorID="64" w:dllVersion="0" w:nlCheck="1" w:checkStyle="0"/>
  <w:activeWritingStyle w:appName="MSWord" w:lang="en-AU"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0sjAwszC1MLQ0NDEzMTNU0lEKTi0uzszPAykwMa0FAIeGQ1wtAAAA"/>
  </w:docVars>
  <w:rsids>
    <w:rsidRoot w:val="00426FBB"/>
    <w:rsid w:val="000002E1"/>
    <w:rsid w:val="000008DF"/>
    <w:rsid w:val="00000DDB"/>
    <w:rsid w:val="00001313"/>
    <w:rsid w:val="00002860"/>
    <w:rsid w:val="00004C85"/>
    <w:rsid w:val="00005946"/>
    <w:rsid w:val="00005CA1"/>
    <w:rsid w:val="00005DCC"/>
    <w:rsid w:val="00006450"/>
    <w:rsid w:val="00006765"/>
    <w:rsid w:val="00007E81"/>
    <w:rsid w:val="00010239"/>
    <w:rsid w:val="0001399F"/>
    <w:rsid w:val="000163AA"/>
    <w:rsid w:val="00016B4B"/>
    <w:rsid w:val="00016E5E"/>
    <w:rsid w:val="00017719"/>
    <w:rsid w:val="00020B2F"/>
    <w:rsid w:val="00021273"/>
    <w:rsid w:val="00022D61"/>
    <w:rsid w:val="000242C2"/>
    <w:rsid w:val="00024591"/>
    <w:rsid w:val="0002696A"/>
    <w:rsid w:val="00026DDA"/>
    <w:rsid w:val="00027974"/>
    <w:rsid w:val="00027F1D"/>
    <w:rsid w:val="000303CD"/>
    <w:rsid w:val="00030838"/>
    <w:rsid w:val="000325E2"/>
    <w:rsid w:val="0003296C"/>
    <w:rsid w:val="000334B9"/>
    <w:rsid w:val="000344C8"/>
    <w:rsid w:val="0004154C"/>
    <w:rsid w:val="00041AB7"/>
    <w:rsid w:val="00041FCE"/>
    <w:rsid w:val="0004268B"/>
    <w:rsid w:val="000428DD"/>
    <w:rsid w:val="000430CA"/>
    <w:rsid w:val="00043CEB"/>
    <w:rsid w:val="0004412F"/>
    <w:rsid w:val="00044A8E"/>
    <w:rsid w:val="00045545"/>
    <w:rsid w:val="0004576D"/>
    <w:rsid w:val="00046DB0"/>
    <w:rsid w:val="000502F3"/>
    <w:rsid w:val="00050FEB"/>
    <w:rsid w:val="0005171E"/>
    <w:rsid w:val="00052506"/>
    <w:rsid w:val="00053A30"/>
    <w:rsid w:val="00054421"/>
    <w:rsid w:val="00054512"/>
    <w:rsid w:val="00054AA2"/>
    <w:rsid w:val="00055DBC"/>
    <w:rsid w:val="00062E46"/>
    <w:rsid w:val="0006302F"/>
    <w:rsid w:val="00063A71"/>
    <w:rsid w:val="0006488A"/>
    <w:rsid w:val="00064A71"/>
    <w:rsid w:val="000665DD"/>
    <w:rsid w:val="00067EAD"/>
    <w:rsid w:val="00070430"/>
    <w:rsid w:val="000705CE"/>
    <w:rsid w:val="00070FB5"/>
    <w:rsid w:val="000710EA"/>
    <w:rsid w:val="000710F9"/>
    <w:rsid w:val="00071D61"/>
    <w:rsid w:val="0007205F"/>
    <w:rsid w:val="00072FC4"/>
    <w:rsid w:val="0007389E"/>
    <w:rsid w:val="000740E4"/>
    <w:rsid w:val="00074964"/>
    <w:rsid w:val="00074AC8"/>
    <w:rsid w:val="00074EBB"/>
    <w:rsid w:val="00075A86"/>
    <w:rsid w:val="00076E86"/>
    <w:rsid w:val="00077579"/>
    <w:rsid w:val="00080792"/>
    <w:rsid w:val="0008087F"/>
    <w:rsid w:val="0008091B"/>
    <w:rsid w:val="0008103C"/>
    <w:rsid w:val="00081408"/>
    <w:rsid w:val="00081EBE"/>
    <w:rsid w:val="00082615"/>
    <w:rsid w:val="00082B96"/>
    <w:rsid w:val="00083621"/>
    <w:rsid w:val="00083A1F"/>
    <w:rsid w:val="0008411C"/>
    <w:rsid w:val="00085066"/>
    <w:rsid w:val="00085F23"/>
    <w:rsid w:val="00086EDC"/>
    <w:rsid w:val="0009111D"/>
    <w:rsid w:val="00092466"/>
    <w:rsid w:val="00092731"/>
    <w:rsid w:val="00095AAE"/>
    <w:rsid w:val="00096F2F"/>
    <w:rsid w:val="00096FE9"/>
    <w:rsid w:val="00097D35"/>
    <w:rsid w:val="000A0BD3"/>
    <w:rsid w:val="000A1205"/>
    <w:rsid w:val="000A19CA"/>
    <w:rsid w:val="000A2CFE"/>
    <w:rsid w:val="000A3060"/>
    <w:rsid w:val="000A42BD"/>
    <w:rsid w:val="000A6DD6"/>
    <w:rsid w:val="000A7122"/>
    <w:rsid w:val="000A75EF"/>
    <w:rsid w:val="000B17AD"/>
    <w:rsid w:val="000B189A"/>
    <w:rsid w:val="000B1983"/>
    <w:rsid w:val="000B1B73"/>
    <w:rsid w:val="000B2107"/>
    <w:rsid w:val="000B242B"/>
    <w:rsid w:val="000B2FE3"/>
    <w:rsid w:val="000B332A"/>
    <w:rsid w:val="000B36A3"/>
    <w:rsid w:val="000B791F"/>
    <w:rsid w:val="000B7D8E"/>
    <w:rsid w:val="000C013C"/>
    <w:rsid w:val="000C1913"/>
    <w:rsid w:val="000C25BD"/>
    <w:rsid w:val="000C27B2"/>
    <w:rsid w:val="000C5BFE"/>
    <w:rsid w:val="000C633D"/>
    <w:rsid w:val="000C73FA"/>
    <w:rsid w:val="000C7AEE"/>
    <w:rsid w:val="000D150A"/>
    <w:rsid w:val="000D2274"/>
    <w:rsid w:val="000D280D"/>
    <w:rsid w:val="000D474B"/>
    <w:rsid w:val="000D56BB"/>
    <w:rsid w:val="000D6093"/>
    <w:rsid w:val="000D62F9"/>
    <w:rsid w:val="000E00E3"/>
    <w:rsid w:val="000E351E"/>
    <w:rsid w:val="000E35D7"/>
    <w:rsid w:val="000E38FC"/>
    <w:rsid w:val="000E3F0A"/>
    <w:rsid w:val="000E3F84"/>
    <w:rsid w:val="000E66EC"/>
    <w:rsid w:val="000E75A0"/>
    <w:rsid w:val="000E7844"/>
    <w:rsid w:val="000E7BAB"/>
    <w:rsid w:val="000E7D6C"/>
    <w:rsid w:val="000F136C"/>
    <w:rsid w:val="000F368F"/>
    <w:rsid w:val="000F3926"/>
    <w:rsid w:val="000F4976"/>
    <w:rsid w:val="000F5B93"/>
    <w:rsid w:val="000F6350"/>
    <w:rsid w:val="000F662C"/>
    <w:rsid w:val="000F70E8"/>
    <w:rsid w:val="000F7A7E"/>
    <w:rsid w:val="001002B9"/>
    <w:rsid w:val="001016A1"/>
    <w:rsid w:val="00104B24"/>
    <w:rsid w:val="0010554F"/>
    <w:rsid w:val="001056DF"/>
    <w:rsid w:val="001057F1"/>
    <w:rsid w:val="00105DCC"/>
    <w:rsid w:val="00106718"/>
    <w:rsid w:val="00111153"/>
    <w:rsid w:val="00111511"/>
    <w:rsid w:val="00112656"/>
    <w:rsid w:val="001127DB"/>
    <w:rsid w:val="001128B3"/>
    <w:rsid w:val="0011344C"/>
    <w:rsid w:val="00113C1D"/>
    <w:rsid w:val="00114025"/>
    <w:rsid w:val="0011515B"/>
    <w:rsid w:val="001160D2"/>
    <w:rsid w:val="001166E6"/>
    <w:rsid w:val="00117CE9"/>
    <w:rsid w:val="0012149A"/>
    <w:rsid w:val="0012182A"/>
    <w:rsid w:val="0012274E"/>
    <w:rsid w:val="00122CCB"/>
    <w:rsid w:val="00123D49"/>
    <w:rsid w:val="00125F5B"/>
    <w:rsid w:val="00125F6A"/>
    <w:rsid w:val="00126EF8"/>
    <w:rsid w:val="001303F0"/>
    <w:rsid w:val="001308EE"/>
    <w:rsid w:val="0013182D"/>
    <w:rsid w:val="001319CF"/>
    <w:rsid w:val="00132779"/>
    <w:rsid w:val="00133897"/>
    <w:rsid w:val="00133B71"/>
    <w:rsid w:val="001348A5"/>
    <w:rsid w:val="00134C64"/>
    <w:rsid w:val="00135122"/>
    <w:rsid w:val="0013631D"/>
    <w:rsid w:val="00136B38"/>
    <w:rsid w:val="00141A82"/>
    <w:rsid w:val="00142344"/>
    <w:rsid w:val="0014640F"/>
    <w:rsid w:val="0014715F"/>
    <w:rsid w:val="001511C7"/>
    <w:rsid w:val="00151B8E"/>
    <w:rsid w:val="00152388"/>
    <w:rsid w:val="0015254D"/>
    <w:rsid w:val="00152EB6"/>
    <w:rsid w:val="00153C40"/>
    <w:rsid w:val="001558AB"/>
    <w:rsid w:val="001564A9"/>
    <w:rsid w:val="00156AD3"/>
    <w:rsid w:val="00157329"/>
    <w:rsid w:val="00157F58"/>
    <w:rsid w:val="00157F9F"/>
    <w:rsid w:val="00161ACD"/>
    <w:rsid w:val="00166774"/>
    <w:rsid w:val="00166DBB"/>
    <w:rsid w:val="0016745D"/>
    <w:rsid w:val="001675E9"/>
    <w:rsid w:val="001702CC"/>
    <w:rsid w:val="001714A9"/>
    <w:rsid w:val="00172265"/>
    <w:rsid w:val="001724B3"/>
    <w:rsid w:val="001752DA"/>
    <w:rsid w:val="0017587D"/>
    <w:rsid w:val="0018191B"/>
    <w:rsid w:val="00182992"/>
    <w:rsid w:val="001829E5"/>
    <w:rsid w:val="00183B62"/>
    <w:rsid w:val="00183D42"/>
    <w:rsid w:val="00183DC2"/>
    <w:rsid w:val="0018743B"/>
    <w:rsid w:val="001879CC"/>
    <w:rsid w:val="00187A35"/>
    <w:rsid w:val="00191B70"/>
    <w:rsid w:val="00192538"/>
    <w:rsid w:val="001928FB"/>
    <w:rsid w:val="00192A6D"/>
    <w:rsid w:val="00192BC7"/>
    <w:rsid w:val="001933F2"/>
    <w:rsid w:val="00193E9C"/>
    <w:rsid w:val="00193F8C"/>
    <w:rsid w:val="001947D4"/>
    <w:rsid w:val="00194855"/>
    <w:rsid w:val="00195AC0"/>
    <w:rsid w:val="00195CFB"/>
    <w:rsid w:val="0019761B"/>
    <w:rsid w:val="00197DB6"/>
    <w:rsid w:val="00197DC4"/>
    <w:rsid w:val="001A060E"/>
    <w:rsid w:val="001A0C48"/>
    <w:rsid w:val="001A211E"/>
    <w:rsid w:val="001A473A"/>
    <w:rsid w:val="001A50EA"/>
    <w:rsid w:val="001A546C"/>
    <w:rsid w:val="001A546E"/>
    <w:rsid w:val="001A5DCA"/>
    <w:rsid w:val="001A6E7E"/>
    <w:rsid w:val="001A70F8"/>
    <w:rsid w:val="001A7662"/>
    <w:rsid w:val="001B0C23"/>
    <w:rsid w:val="001B1124"/>
    <w:rsid w:val="001B1AF5"/>
    <w:rsid w:val="001B2193"/>
    <w:rsid w:val="001B237A"/>
    <w:rsid w:val="001B2E03"/>
    <w:rsid w:val="001B35BF"/>
    <w:rsid w:val="001B4E92"/>
    <w:rsid w:val="001B6A25"/>
    <w:rsid w:val="001B6F11"/>
    <w:rsid w:val="001C05DE"/>
    <w:rsid w:val="001C0D82"/>
    <w:rsid w:val="001C1BAD"/>
    <w:rsid w:val="001C1FC6"/>
    <w:rsid w:val="001C5269"/>
    <w:rsid w:val="001C57FD"/>
    <w:rsid w:val="001D25F9"/>
    <w:rsid w:val="001D2D7D"/>
    <w:rsid w:val="001D41A3"/>
    <w:rsid w:val="001D573B"/>
    <w:rsid w:val="001D5B28"/>
    <w:rsid w:val="001D7AF9"/>
    <w:rsid w:val="001D7CAE"/>
    <w:rsid w:val="001D7D03"/>
    <w:rsid w:val="001E0BCF"/>
    <w:rsid w:val="001E13F0"/>
    <w:rsid w:val="001E2251"/>
    <w:rsid w:val="001E39C9"/>
    <w:rsid w:val="001E672F"/>
    <w:rsid w:val="001F1016"/>
    <w:rsid w:val="001F1619"/>
    <w:rsid w:val="001F16CD"/>
    <w:rsid w:val="001F1FE2"/>
    <w:rsid w:val="001F2585"/>
    <w:rsid w:val="001F3A02"/>
    <w:rsid w:val="001F47D2"/>
    <w:rsid w:val="001F7088"/>
    <w:rsid w:val="001F7CD0"/>
    <w:rsid w:val="00200424"/>
    <w:rsid w:val="0020158E"/>
    <w:rsid w:val="002021B6"/>
    <w:rsid w:val="00202C75"/>
    <w:rsid w:val="002034CD"/>
    <w:rsid w:val="002043A9"/>
    <w:rsid w:val="002046A6"/>
    <w:rsid w:val="00204DB5"/>
    <w:rsid w:val="0020509C"/>
    <w:rsid w:val="0020536F"/>
    <w:rsid w:val="002060C8"/>
    <w:rsid w:val="0020738B"/>
    <w:rsid w:val="002102E9"/>
    <w:rsid w:val="00210C09"/>
    <w:rsid w:val="00211A28"/>
    <w:rsid w:val="0021267E"/>
    <w:rsid w:val="00212B1F"/>
    <w:rsid w:val="0021357F"/>
    <w:rsid w:val="00213C1F"/>
    <w:rsid w:val="00215452"/>
    <w:rsid w:val="00215C14"/>
    <w:rsid w:val="002167B4"/>
    <w:rsid w:val="002171B7"/>
    <w:rsid w:val="0021737C"/>
    <w:rsid w:val="00217A72"/>
    <w:rsid w:val="0022285A"/>
    <w:rsid w:val="00224C61"/>
    <w:rsid w:val="00226A8A"/>
    <w:rsid w:val="00227E4E"/>
    <w:rsid w:val="0023045E"/>
    <w:rsid w:val="002350B4"/>
    <w:rsid w:val="00235B14"/>
    <w:rsid w:val="00236437"/>
    <w:rsid w:val="00236567"/>
    <w:rsid w:val="00236D98"/>
    <w:rsid w:val="00237887"/>
    <w:rsid w:val="00237960"/>
    <w:rsid w:val="002414CE"/>
    <w:rsid w:val="002417CA"/>
    <w:rsid w:val="002419EA"/>
    <w:rsid w:val="0024275D"/>
    <w:rsid w:val="00242AB1"/>
    <w:rsid w:val="00243C1A"/>
    <w:rsid w:val="00244076"/>
    <w:rsid w:val="00244C47"/>
    <w:rsid w:val="00245318"/>
    <w:rsid w:val="00245995"/>
    <w:rsid w:val="00247AC6"/>
    <w:rsid w:val="00247B6F"/>
    <w:rsid w:val="00251A94"/>
    <w:rsid w:val="0025403B"/>
    <w:rsid w:val="002548AE"/>
    <w:rsid w:val="00254F98"/>
    <w:rsid w:val="00255D00"/>
    <w:rsid w:val="00255DE2"/>
    <w:rsid w:val="0025784A"/>
    <w:rsid w:val="002609D8"/>
    <w:rsid w:val="002612BB"/>
    <w:rsid w:val="00261847"/>
    <w:rsid w:val="00261A36"/>
    <w:rsid w:val="00265C23"/>
    <w:rsid w:val="002662A1"/>
    <w:rsid w:val="00267903"/>
    <w:rsid w:val="00267FE2"/>
    <w:rsid w:val="0027227B"/>
    <w:rsid w:val="002732D1"/>
    <w:rsid w:val="00273AC7"/>
    <w:rsid w:val="00273BF8"/>
    <w:rsid w:val="00273C50"/>
    <w:rsid w:val="00273D2C"/>
    <w:rsid w:val="002758FA"/>
    <w:rsid w:val="00276BB2"/>
    <w:rsid w:val="00277546"/>
    <w:rsid w:val="00277E35"/>
    <w:rsid w:val="002802B6"/>
    <w:rsid w:val="0028231D"/>
    <w:rsid w:val="00282354"/>
    <w:rsid w:val="00282742"/>
    <w:rsid w:val="00283806"/>
    <w:rsid w:val="00284A87"/>
    <w:rsid w:val="002857AE"/>
    <w:rsid w:val="00285ECD"/>
    <w:rsid w:val="0028739A"/>
    <w:rsid w:val="002900BF"/>
    <w:rsid w:val="0029056D"/>
    <w:rsid w:val="00290E1B"/>
    <w:rsid w:val="00291B17"/>
    <w:rsid w:val="00291F95"/>
    <w:rsid w:val="00293B3E"/>
    <w:rsid w:val="002953CF"/>
    <w:rsid w:val="002A1879"/>
    <w:rsid w:val="002A2216"/>
    <w:rsid w:val="002A2BDE"/>
    <w:rsid w:val="002A6742"/>
    <w:rsid w:val="002A7E54"/>
    <w:rsid w:val="002B03C7"/>
    <w:rsid w:val="002B0EB7"/>
    <w:rsid w:val="002B50BE"/>
    <w:rsid w:val="002B5240"/>
    <w:rsid w:val="002B5A20"/>
    <w:rsid w:val="002B6826"/>
    <w:rsid w:val="002B7BEF"/>
    <w:rsid w:val="002B7F5D"/>
    <w:rsid w:val="002C1A7F"/>
    <w:rsid w:val="002C1E1A"/>
    <w:rsid w:val="002C2E94"/>
    <w:rsid w:val="002C4239"/>
    <w:rsid w:val="002C559D"/>
    <w:rsid w:val="002D0CD9"/>
    <w:rsid w:val="002D0EB4"/>
    <w:rsid w:val="002D1208"/>
    <w:rsid w:val="002D1410"/>
    <w:rsid w:val="002D1433"/>
    <w:rsid w:val="002D20A2"/>
    <w:rsid w:val="002D2D42"/>
    <w:rsid w:val="002D31CE"/>
    <w:rsid w:val="002D4388"/>
    <w:rsid w:val="002D544C"/>
    <w:rsid w:val="002D665D"/>
    <w:rsid w:val="002D693F"/>
    <w:rsid w:val="002D7DD5"/>
    <w:rsid w:val="002E06A0"/>
    <w:rsid w:val="002E190A"/>
    <w:rsid w:val="002E1A3C"/>
    <w:rsid w:val="002E2738"/>
    <w:rsid w:val="002E4A55"/>
    <w:rsid w:val="002E52CA"/>
    <w:rsid w:val="002E674D"/>
    <w:rsid w:val="002E6F44"/>
    <w:rsid w:val="002E7EF7"/>
    <w:rsid w:val="002F3BD9"/>
    <w:rsid w:val="002F49EE"/>
    <w:rsid w:val="002F654F"/>
    <w:rsid w:val="002F72D0"/>
    <w:rsid w:val="002F794D"/>
    <w:rsid w:val="003003AB"/>
    <w:rsid w:val="00300547"/>
    <w:rsid w:val="00302935"/>
    <w:rsid w:val="00305D1A"/>
    <w:rsid w:val="00305E33"/>
    <w:rsid w:val="00305E98"/>
    <w:rsid w:val="0030612C"/>
    <w:rsid w:val="003063C9"/>
    <w:rsid w:val="003063EE"/>
    <w:rsid w:val="00306613"/>
    <w:rsid w:val="00311A68"/>
    <w:rsid w:val="00311B85"/>
    <w:rsid w:val="00311C49"/>
    <w:rsid w:val="00312AEA"/>
    <w:rsid w:val="00313022"/>
    <w:rsid w:val="00314280"/>
    <w:rsid w:val="00317076"/>
    <w:rsid w:val="00317BAF"/>
    <w:rsid w:val="00317DF2"/>
    <w:rsid w:val="00317E09"/>
    <w:rsid w:val="00320294"/>
    <w:rsid w:val="0032119E"/>
    <w:rsid w:val="00321304"/>
    <w:rsid w:val="003222D5"/>
    <w:rsid w:val="00322736"/>
    <w:rsid w:val="00322F04"/>
    <w:rsid w:val="003234C4"/>
    <w:rsid w:val="00323650"/>
    <w:rsid w:val="003245CA"/>
    <w:rsid w:val="003256D0"/>
    <w:rsid w:val="003272E4"/>
    <w:rsid w:val="00327DB8"/>
    <w:rsid w:val="00327E20"/>
    <w:rsid w:val="00331F84"/>
    <w:rsid w:val="00331FB5"/>
    <w:rsid w:val="003320B5"/>
    <w:rsid w:val="0033227E"/>
    <w:rsid w:val="00332EFB"/>
    <w:rsid w:val="00333215"/>
    <w:rsid w:val="003339E5"/>
    <w:rsid w:val="00334A4C"/>
    <w:rsid w:val="0033510C"/>
    <w:rsid w:val="00335CDD"/>
    <w:rsid w:val="0033611F"/>
    <w:rsid w:val="00336426"/>
    <w:rsid w:val="00336D8B"/>
    <w:rsid w:val="00337E67"/>
    <w:rsid w:val="0034111A"/>
    <w:rsid w:val="0034286F"/>
    <w:rsid w:val="00346858"/>
    <w:rsid w:val="00350D00"/>
    <w:rsid w:val="00350E06"/>
    <w:rsid w:val="003525F3"/>
    <w:rsid w:val="00352F44"/>
    <w:rsid w:val="00354E4B"/>
    <w:rsid w:val="003554F2"/>
    <w:rsid w:val="0035615B"/>
    <w:rsid w:val="00357ECF"/>
    <w:rsid w:val="0036010B"/>
    <w:rsid w:val="00361B6B"/>
    <w:rsid w:val="00361F5F"/>
    <w:rsid w:val="00362DBF"/>
    <w:rsid w:val="00362F79"/>
    <w:rsid w:val="0036454E"/>
    <w:rsid w:val="003710A5"/>
    <w:rsid w:val="00374A24"/>
    <w:rsid w:val="003752DB"/>
    <w:rsid w:val="00376542"/>
    <w:rsid w:val="00376BF4"/>
    <w:rsid w:val="00377A7D"/>
    <w:rsid w:val="00377C68"/>
    <w:rsid w:val="00377D0A"/>
    <w:rsid w:val="00377F8E"/>
    <w:rsid w:val="00380366"/>
    <w:rsid w:val="00382607"/>
    <w:rsid w:val="003830CB"/>
    <w:rsid w:val="0038371B"/>
    <w:rsid w:val="0038531E"/>
    <w:rsid w:val="00385F35"/>
    <w:rsid w:val="0038635E"/>
    <w:rsid w:val="0039227A"/>
    <w:rsid w:val="00393557"/>
    <w:rsid w:val="003950A4"/>
    <w:rsid w:val="003A08FF"/>
    <w:rsid w:val="003A0B4E"/>
    <w:rsid w:val="003A278C"/>
    <w:rsid w:val="003A2BA2"/>
    <w:rsid w:val="003A30D1"/>
    <w:rsid w:val="003A375E"/>
    <w:rsid w:val="003A414D"/>
    <w:rsid w:val="003A5C37"/>
    <w:rsid w:val="003A67EF"/>
    <w:rsid w:val="003A68AD"/>
    <w:rsid w:val="003A6916"/>
    <w:rsid w:val="003A7351"/>
    <w:rsid w:val="003A7887"/>
    <w:rsid w:val="003B0E23"/>
    <w:rsid w:val="003B2C92"/>
    <w:rsid w:val="003B2D4A"/>
    <w:rsid w:val="003B377E"/>
    <w:rsid w:val="003B3B05"/>
    <w:rsid w:val="003B5B40"/>
    <w:rsid w:val="003B6787"/>
    <w:rsid w:val="003B74D9"/>
    <w:rsid w:val="003C013F"/>
    <w:rsid w:val="003C01CC"/>
    <w:rsid w:val="003C042A"/>
    <w:rsid w:val="003C0C02"/>
    <w:rsid w:val="003C16A4"/>
    <w:rsid w:val="003C3E79"/>
    <w:rsid w:val="003C5289"/>
    <w:rsid w:val="003C5360"/>
    <w:rsid w:val="003C56C2"/>
    <w:rsid w:val="003D08AF"/>
    <w:rsid w:val="003D114F"/>
    <w:rsid w:val="003D3BAC"/>
    <w:rsid w:val="003D4EFA"/>
    <w:rsid w:val="003D54E8"/>
    <w:rsid w:val="003D56D1"/>
    <w:rsid w:val="003D5E24"/>
    <w:rsid w:val="003D5E3E"/>
    <w:rsid w:val="003D6251"/>
    <w:rsid w:val="003D6B83"/>
    <w:rsid w:val="003D6C14"/>
    <w:rsid w:val="003E0D45"/>
    <w:rsid w:val="003E12AF"/>
    <w:rsid w:val="003E3577"/>
    <w:rsid w:val="003E4D8E"/>
    <w:rsid w:val="003E5E06"/>
    <w:rsid w:val="003E640B"/>
    <w:rsid w:val="003E6C10"/>
    <w:rsid w:val="003E70CD"/>
    <w:rsid w:val="003E7262"/>
    <w:rsid w:val="003E7CFB"/>
    <w:rsid w:val="003F09EB"/>
    <w:rsid w:val="003F0D93"/>
    <w:rsid w:val="003F0EBA"/>
    <w:rsid w:val="003F1534"/>
    <w:rsid w:val="003F201A"/>
    <w:rsid w:val="003F29DA"/>
    <w:rsid w:val="003F2B07"/>
    <w:rsid w:val="003F2D55"/>
    <w:rsid w:val="003F3A61"/>
    <w:rsid w:val="003F40E4"/>
    <w:rsid w:val="003F48DD"/>
    <w:rsid w:val="003F4E18"/>
    <w:rsid w:val="003F555D"/>
    <w:rsid w:val="00400311"/>
    <w:rsid w:val="004005DC"/>
    <w:rsid w:val="00400E2F"/>
    <w:rsid w:val="00401CE3"/>
    <w:rsid w:val="004027D2"/>
    <w:rsid w:val="004041FD"/>
    <w:rsid w:val="00405CCB"/>
    <w:rsid w:val="00407264"/>
    <w:rsid w:val="00407C2F"/>
    <w:rsid w:val="00410070"/>
    <w:rsid w:val="0041058D"/>
    <w:rsid w:val="00410A5D"/>
    <w:rsid w:val="00410EC6"/>
    <w:rsid w:val="00411614"/>
    <w:rsid w:val="0041161D"/>
    <w:rsid w:val="004121CE"/>
    <w:rsid w:val="00414408"/>
    <w:rsid w:val="00414909"/>
    <w:rsid w:val="0041550D"/>
    <w:rsid w:val="00415A1B"/>
    <w:rsid w:val="00415E54"/>
    <w:rsid w:val="00415FC7"/>
    <w:rsid w:val="00416321"/>
    <w:rsid w:val="00417842"/>
    <w:rsid w:val="00417B37"/>
    <w:rsid w:val="00420196"/>
    <w:rsid w:val="00420332"/>
    <w:rsid w:val="00421C70"/>
    <w:rsid w:val="00421D96"/>
    <w:rsid w:val="0042238B"/>
    <w:rsid w:val="00422FB5"/>
    <w:rsid w:val="00423093"/>
    <w:rsid w:val="00425A6A"/>
    <w:rsid w:val="00425D6E"/>
    <w:rsid w:val="004265CF"/>
    <w:rsid w:val="004267D5"/>
    <w:rsid w:val="00426FBB"/>
    <w:rsid w:val="004300A0"/>
    <w:rsid w:val="00430F70"/>
    <w:rsid w:val="00431A8A"/>
    <w:rsid w:val="00431BC4"/>
    <w:rsid w:val="00432111"/>
    <w:rsid w:val="00433988"/>
    <w:rsid w:val="00433D8D"/>
    <w:rsid w:val="00434167"/>
    <w:rsid w:val="004352FD"/>
    <w:rsid w:val="00436234"/>
    <w:rsid w:val="004374E7"/>
    <w:rsid w:val="00441F6D"/>
    <w:rsid w:val="00442A4B"/>
    <w:rsid w:val="00442D61"/>
    <w:rsid w:val="00443D44"/>
    <w:rsid w:val="00444615"/>
    <w:rsid w:val="00445B23"/>
    <w:rsid w:val="00445F26"/>
    <w:rsid w:val="0044636A"/>
    <w:rsid w:val="00450D45"/>
    <w:rsid w:val="00451F49"/>
    <w:rsid w:val="0045244B"/>
    <w:rsid w:val="004556BB"/>
    <w:rsid w:val="00456157"/>
    <w:rsid w:val="00460708"/>
    <w:rsid w:val="00463170"/>
    <w:rsid w:val="004640F4"/>
    <w:rsid w:val="004642ED"/>
    <w:rsid w:val="004645D2"/>
    <w:rsid w:val="004653FC"/>
    <w:rsid w:val="0046661B"/>
    <w:rsid w:val="00467BAC"/>
    <w:rsid w:val="00467C14"/>
    <w:rsid w:val="004705EE"/>
    <w:rsid w:val="00470B59"/>
    <w:rsid w:val="0047140A"/>
    <w:rsid w:val="00471B82"/>
    <w:rsid w:val="00473917"/>
    <w:rsid w:val="0047429A"/>
    <w:rsid w:val="00474578"/>
    <w:rsid w:val="004748CD"/>
    <w:rsid w:val="004806E3"/>
    <w:rsid w:val="00480C6A"/>
    <w:rsid w:val="00480F22"/>
    <w:rsid w:val="00482D62"/>
    <w:rsid w:val="0048374C"/>
    <w:rsid w:val="00483D58"/>
    <w:rsid w:val="00485153"/>
    <w:rsid w:val="004855A6"/>
    <w:rsid w:val="00485D0E"/>
    <w:rsid w:val="00486261"/>
    <w:rsid w:val="004872DF"/>
    <w:rsid w:val="0048771D"/>
    <w:rsid w:val="00490016"/>
    <w:rsid w:val="00490829"/>
    <w:rsid w:val="00490E53"/>
    <w:rsid w:val="004918CB"/>
    <w:rsid w:val="004931BA"/>
    <w:rsid w:val="00493C1D"/>
    <w:rsid w:val="00494104"/>
    <w:rsid w:val="004942B9"/>
    <w:rsid w:val="00494ACB"/>
    <w:rsid w:val="00494FA5"/>
    <w:rsid w:val="004A2F6F"/>
    <w:rsid w:val="004A303D"/>
    <w:rsid w:val="004A3405"/>
    <w:rsid w:val="004A52B5"/>
    <w:rsid w:val="004A6605"/>
    <w:rsid w:val="004A6BCB"/>
    <w:rsid w:val="004B1B02"/>
    <w:rsid w:val="004B3EEC"/>
    <w:rsid w:val="004B6452"/>
    <w:rsid w:val="004C0AA8"/>
    <w:rsid w:val="004C36F3"/>
    <w:rsid w:val="004C45FA"/>
    <w:rsid w:val="004C5428"/>
    <w:rsid w:val="004C63A0"/>
    <w:rsid w:val="004C6F65"/>
    <w:rsid w:val="004C7E6D"/>
    <w:rsid w:val="004C7E7B"/>
    <w:rsid w:val="004D0626"/>
    <w:rsid w:val="004D11A1"/>
    <w:rsid w:val="004D21B3"/>
    <w:rsid w:val="004D261B"/>
    <w:rsid w:val="004D2947"/>
    <w:rsid w:val="004D2A51"/>
    <w:rsid w:val="004D479F"/>
    <w:rsid w:val="004D490D"/>
    <w:rsid w:val="004D4FC1"/>
    <w:rsid w:val="004D5434"/>
    <w:rsid w:val="004D67C3"/>
    <w:rsid w:val="004D6A29"/>
    <w:rsid w:val="004D7300"/>
    <w:rsid w:val="004E0115"/>
    <w:rsid w:val="004E0F1E"/>
    <w:rsid w:val="004E1BD8"/>
    <w:rsid w:val="004E284F"/>
    <w:rsid w:val="004E452A"/>
    <w:rsid w:val="004E60CA"/>
    <w:rsid w:val="004E6EB4"/>
    <w:rsid w:val="004E78E3"/>
    <w:rsid w:val="004F2330"/>
    <w:rsid w:val="004F3058"/>
    <w:rsid w:val="004F389D"/>
    <w:rsid w:val="004F3F43"/>
    <w:rsid w:val="004F41D3"/>
    <w:rsid w:val="004F6134"/>
    <w:rsid w:val="004F6145"/>
    <w:rsid w:val="004F687F"/>
    <w:rsid w:val="0050017F"/>
    <w:rsid w:val="005004BF"/>
    <w:rsid w:val="00501126"/>
    <w:rsid w:val="005012F7"/>
    <w:rsid w:val="00502400"/>
    <w:rsid w:val="005027CC"/>
    <w:rsid w:val="00502E89"/>
    <w:rsid w:val="00503630"/>
    <w:rsid w:val="00503887"/>
    <w:rsid w:val="005054AA"/>
    <w:rsid w:val="00506A3B"/>
    <w:rsid w:val="00506BD5"/>
    <w:rsid w:val="005074AB"/>
    <w:rsid w:val="00510E95"/>
    <w:rsid w:val="00511848"/>
    <w:rsid w:val="0051532F"/>
    <w:rsid w:val="0051765B"/>
    <w:rsid w:val="00517697"/>
    <w:rsid w:val="00520A86"/>
    <w:rsid w:val="00520DA6"/>
    <w:rsid w:val="0052247D"/>
    <w:rsid w:val="00524EAB"/>
    <w:rsid w:val="00525845"/>
    <w:rsid w:val="00525BFE"/>
    <w:rsid w:val="0052666E"/>
    <w:rsid w:val="00526DE7"/>
    <w:rsid w:val="00527711"/>
    <w:rsid w:val="00527D56"/>
    <w:rsid w:val="00527E31"/>
    <w:rsid w:val="0053221F"/>
    <w:rsid w:val="00532B53"/>
    <w:rsid w:val="005331F4"/>
    <w:rsid w:val="00533F50"/>
    <w:rsid w:val="0053486F"/>
    <w:rsid w:val="00536FAE"/>
    <w:rsid w:val="00542C85"/>
    <w:rsid w:val="00543F7A"/>
    <w:rsid w:val="00544133"/>
    <w:rsid w:val="0054608A"/>
    <w:rsid w:val="00547085"/>
    <w:rsid w:val="00547C36"/>
    <w:rsid w:val="00550A4E"/>
    <w:rsid w:val="005515C1"/>
    <w:rsid w:val="00551800"/>
    <w:rsid w:val="00552C59"/>
    <w:rsid w:val="00553510"/>
    <w:rsid w:val="00553741"/>
    <w:rsid w:val="00554186"/>
    <w:rsid w:val="005551E1"/>
    <w:rsid w:val="005558ED"/>
    <w:rsid w:val="00556599"/>
    <w:rsid w:val="00556C9B"/>
    <w:rsid w:val="0055716B"/>
    <w:rsid w:val="00560293"/>
    <w:rsid w:val="005608F5"/>
    <w:rsid w:val="00561018"/>
    <w:rsid w:val="00561BC4"/>
    <w:rsid w:val="00562B3A"/>
    <w:rsid w:val="0056442A"/>
    <w:rsid w:val="005655B6"/>
    <w:rsid w:val="005706BC"/>
    <w:rsid w:val="00574272"/>
    <w:rsid w:val="00575954"/>
    <w:rsid w:val="00575BE6"/>
    <w:rsid w:val="00575C2D"/>
    <w:rsid w:val="00575C90"/>
    <w:rsid w:val="005773EA"/>
    <w:rsid w:val="00577442"/>
    <w:rsid w:val="0057763E"/>
    <w:rsid w:val="00580615"/>
    <w:rsid w:val="005841B7"/>
    <w:rsid w:val="00584EE2"/>
    <w:rsid w:val="00585057"/>
    <w:rsid w:val="00585769"/>
    <w:rsid w:val="005857DB"/>
    <w:rsid w:val="0058674C"/>
    <w:rsid w:val="00591130"/>
    <w:rsid w:val="005920DF"/>
    <w:rsid w:val="0059436E"/>
    <w:rsid w:val="005968CA"/>
    <w:rsid w:val="00596CBD"/>
    <w:rsid w:val="00596FA2"/>
    <w:rsid w:val="00597570"/>
    <w:rsid w:val="00597721"/>
    <w:rsid w:val="005A0BE1"/>
    <w:rsid w:val="005A1E4B"/>
    <w:rsid w:val="005A2087"/>
    <w:rsid w:val="005A2D5C"/>
    <w:rsid w:val="005A3BFB"/>
    <w:rsid w:val="005A3F28"/>
    <w:rsid w:val="005A40BE"/>
    <w:rsid w:val="005A55BF"/>
    <w:rsid w:val="005A5815"/>
    <w:rsid w:val="005A6683"/>
    <w:rsid w:val="005A72EC"/>
    <w:rsid w:val="005A7897"/>
    <w:rsid w:val="005B10ED"/>
    <w:rsid w:val="005B13E2"/>
    <w:rsid w:val="005B16D4"/>
    <w:rsid w:val="005B176E"/>
    <w:rsid w:val="005B17F6"/>
    <w:rsid w:val="005B2983"/>
    <w:rsid w:val="005B471B"/>
    <w:rsid w:val="005B47D7"/>
    <w:rsid w:val="005B5C7D"/>
    <w:rsid w:val="005B630F"/>
    <w:rsid w:val="005B6EEB"/>
    <w:rsid w:val="005B728F"/>
    <w:rsid w:val="005B7A07"/>
    <w:rsid w:val="005C0D18"/>
    <w:rsid w:val="005C3B1D"/>
    <w:rsid w:val="005C4492"/>
    <w:rsid w:val="005C5526"/>
    <w:rsid w:val="005C58C4"/>
    <w:rsid w:val="005C60AA"/>
    <w:rsid w:val="005C62C6"/>
    <w:rsid w:val="005C7A78"/>
    <w:rsid w:val="005D036D"/>
    <w:rsid w:val="005D1FB1"/>
    <w:rsid w:val="005D2DED"/>
    <w:rsid w:val="005D2FEE"/>
    <w:rsid w:val="005D3049"/>
    <w:rsid w:val="005D3B6A"/>
    <w:rsid w:val="005D3FE4"/>
    <w:rsid w:val="005D45C0"/>
    <w:rsid w:val="005D47DE"/>
    <w:rsid w:val="005D4915"/>
    <w:rsid w:val="005D5E60"/>
    <w:rsid w:val="005D64B9"/>
    <w:rsid w:val="005D6805"/>
    <w:rsid w:val="005D6ADE"/>
    <w:rsid w:val="005D6B4E"/>
    <w:rsid w:val="005D78C4"/>
    <w:rsid w:val="005D7900"/>
    <w:rsid w:val="005D7B9E"/>
    <w:rsid w:val="005E0A7D"/>
    <w:rsid w:val="005E0B57"/>
    <w:rsid w:val="005E1EAE"/>
    <w:rsid w:val="005E2157"/>
    <w:rsid w:val="005E22E2"/>
    <w:rsid w:val="005E3284"/>
    <w:rsid w:val="005E444E"/>
    <w:rsid w:val="005E6602"/>
    <w:rsid w:val="005E7E1E"/>
    <w:rsid w:val="005F0834"/>
    <w:rsid w:val="005F161B"/>
    <w:rsid w:val="005F3889"/>
    <w:rsid w:val="005F3F99"/>
    <w:rsid w:val="005F4180"/>
    <w:rsid w:val="005F4241"/>
    <w:rsid w:val="005F5E31"/>
    <w:rsid w:val="005F5FCB"/>
    <w:rsid w:val="005F6DC3"/>
    <w:rsid w:val="00600275"/>
    <w:rsid w:val="00601A8E"/>
    <w:rsid w:val="0060243B"/>
    <w:rsid w:val="006040AF"/>
    <w:rsid w:val="006044A5"/>
    <w:rsid w:val="0060457D"/>
    <w:rsid w:val="00605038"/>
    <w:rsid w:val="0060528A"/>
    <w:rsid w:val="00605574"/>
    <w:rsid w:val="0060656D"/>
    <w:rsid w:val="006073AB"/>
    <w:rsid w:val="00607821"/>
    <w:rsid w:val="006078DA"/>
    <w:rsid w:val="00607BD5"/>
    <w:rsid w:val="006105A7"/>
    <w:rsid w:val="0061212B"/>
    <w:rsid w:val="00612260"/>
    <w:rsid w:val="00613685"/>
    <w:rsid w:val="00613E84"/>
    <w:rsid w:val="00614841"/>
    <w:rsid w:val="00615544"/>
    <w:rsid w:val="00615975"/>
    <w:rsid w:val="00616A03"/>
    <w:rsid w:val="0062033E"/>
    <w:rsid w:val="00620D09"/>
    <w:rsid w:val="00622A92"/>
    <w:rsid w:val="00624482"/>
    <w:rsid w:val="006256D2"/>
    <w:rsid w:val="006268A4"/>
    <w:rsid w:val="0063018D"/>
    <w:rsid w:val="00632300"/>
    <w:rsid w:val="00632E18"/>
    <w:rsid w:val="00635882"/>
    <w:rsid w:val="00635B55"/>
    <w:rsid w:val="006362AC"/>
    <w:rsid w:val="00637829"/>
    <w:rsid w:val="006413B6"/>
    <w:rsid w:val="00641B4D"/>
    <w:rsid w:val="00643D13"/>
    <w:rsid w:val="0064799C"/>
    <w:rsid w:val="006508AA"/>
    <w:rsid w:val="0065174E"/>
    <w:rsid w:val="0065253D"/>
    <w:rsid w:val="00652B25"/>
    <w:rsid w:val="00653ABD"/>
    <w:rsid w:val="00654156"/>
    <w:rsid w:val="00654E18"/>
    <w:rsid w:val="00657463"/>
    <w:rsid w:val="00661F27"/>
    <w:rsid w:val="0066254B"/>
    <w:rsid w:val="006632F3"/>
    <w:rsid w:val="00663E09"/>
    <w:rsid w:val="00664A9F"/>
    <w:rsid w:val="006653E3"/>
    <w:rsid w:val="00667736"/>
    <w:rsid w:val="00667B20"/>
    <w:rsid w:val="00670A95"/>
    <w:rsid w:val="00670DE2"/>
    <w:rsid w:val="00674478"/>
    <w:rsid w:val="0067457F"/>
    <w:rsid w:val="006747EB"/>
    <w:rsid w:val="0067547E"/>
    <w:rsid w:val="00676679"/>
    <w:rsid w:val="006768DF"/>
    <w:rsid w:val="00676A58"/>
    <w:rsid w:val="00676D2E"/>
    <w:rsid w:val="00676F7A"/>
    <w:rsid w:val="00677103"/>
    <w:rsid w:val="006779A1"/>
    <w:rsid w:val="00677ABE"/>
    <w:rsid w:val="00677F0A"/>
    <w:rsid w:val="00680E51"/>
    <w:rsid w:val="00681A19"/>
    <w:rsid w:val="0068286D"/>
    <w:rsid w:val="00682EE1"/>
    <w:rsid w:val="00683B74"/>
    <w:rsid w:val="006841E1"/>
    <w:rsid w:val="0068631A"/>
    <w:rsid w:val="00686C19"/>
    <w:rsid w:val="00686C35"/>
    <w:rsid w:val="006901DC"/>
    <w:rsid w:val="006905E7"/>
    <w:rsid w:val="0069100B"/>
    <w:rsid w:val="00692698"/>
    <w:rsid w:val="00692D62"/>
    <w:rsid w:val="00693455"/>
    <w:rsid w:val="00694B1E"/>
    <w:rsid w:val="00694E42"/>
    <w:rsid w:val="00695744"/>
    <w:rsid w:val="006963D3"/>
    <w:rsid w:val="0069702E"/>
    <w:rsid w:val="0069713C"/>
    <w:rsid w:val="00697AA1"/>
    <w:rsid w:val="006A141A"/>
    <w:rsid w:val="006A1E7B"/>
    <w:rsid w:val="006A2184"/>
    <w:rsid w:val="006A3D4C"/>
    <w:rsid w:val="006A4717"/>
    <w:rsid w:val="006A4A3F"/>
    <w:rsid w:val="006A57D8"/>
    <w:rsid w:val="006B10EA"/>
    <w:rsid w:val="006B2E10"/>
    <w:rsid w:val="006B47CA"/>
    <w:rsid w:val="006B487F"/>
    <w:rsid w:val="006B4C05"/>
    <w:rsid w:val="006B5E6D"/>
    <w:rsid w:val="006B66AB"/>
    <w:rsid w:val="006B7B9D"/>
    <w:rsid w:val="006C07FF"/>
    <w:rsid w:val="006C2FFA"/>
    <w:rsid w:val="006C33F0"/>
    <w:rsid w:val="006C481E"/>
    <w:rsid w:val="006C494C"/>
    <w:rsid w:val="006C69B3"/>
    <w:rsid w:val="006C7183"/>
    <w:rsid w:val="006C7AAA"/>
    <w:rsid w:val="006C7F9E"/>
    <w:rsid w:val="006D0917"/>
    <w:rsid w:val="006D175D"/>
    <w:rsid w:val="006D1C2A"/>
    <w:rsid w:val="006D1ECB"/>
    <w:rsid w:val="006D264F"/>
    <w:rsid w:val="006D38C9"/>
    <w:rsid w:val="006D43C5"/>
    <w:rsid w:val="006D4B98"/>
    <w:rsid w:val="006D6663"/>
    <w:rsid w:val="006D7F99"/>
    <w:rsid w:val="006E2A8D"/>
    <w:rsid w:val="006E3B64"/>
    <w:rsid w:val="006E3CA3"/>
    <w:rsid w:val="006E5EB2"/>
    <w:rsid w:val="006E67B4"/>
    <w:rsid w:val="006E756E"/>
    <w:rsid w:val="006E7574"/>
    <w:rsid w:val="006E7731"/>
    <w:rsid w:val="006E7BEB"/>
    <w:rsid w:val="006F0118"/>
    <w:rsid w:val="006F02AE"/>
    <w:rsid w:val="006F0833"/>
    <w:rsid w:val="006F0A80"/>
    <w:rsid w:val="006F1362"/>
    <w:rsid w:val="006F322E"/>
    <w:rsid w:val="006F44A3"/>
    <w:rsid w:val="006F4A12"/>
    <w:rsid w:val="006F5DA8"/>
    <w:rsid w:val="006F5FB2"/>
    <w:rsid w:val="006F74D9"/>
    <w:rsid w:val="00700881"/>
    <w:rsid w:val="0070168D"/>
    <w:rsid w:val="00703430"/>
    <w:rsid w:val="0070497B"/>
    <w:rsid w:val="0070586A"/>
    <w:rsid w:val="00705DC9"/>
    <w:rsid w:val="007069BE"/>
    <w:rsid w:val="00710452"/>
    <w:rsid w:val="0071202A"/>
    <w:rsid w:val="007141A4"/>
    <w:rsid w:val="007151AE"/>
    <w:rsid w:val="00720A0B"/>
    <w:rsid w:val="0072217D"/>
    <w:rsid w:val="00723304"/>
    <w:rsid w:val="00724651"/>
    <w:rsid w:val="007269F5"/>
    <w:rsid w:val="00730AA0"/>
    <w:rsid w:val="007326BF"/>
    <w:rsid w:val="00733490"/>
    <w:rsid w:val="0073363A"/>
    <w:rsid w:val="00733959"/>
    <w:rsid w:val="00734204"/>
    <w:rsid w:val="00734C68"/>
    <w:rsid w:val="0073725C"/>
    <w:rsid w:val="00740964"/>
    <w:rsid w:val="0074303A"/>
    <w:rsid w:val="00743B18"/>
    <w:rsid w:val="00744261"/>
    <w:rsid w:val="00745017"/>
    <w:rsid w:val="00745C86"/>
    <w:rsid w:val="007469E1"/>
    <w:rsid w:val="0074796C"/>
    <w:rsid w:val="00747A01"/>
    <w:rsid w:val="00747CF7"/>
    <w:rsid w:val="00751831"/>
    <w:rsid w:val="007527C9"/>
    <w:rsid w:val="00754CFB"/>
    <w:rsid w:val="00755326"/>
    <w:rsid w:val="0076158A"/>
    <w:rsid w:val="00763016"/>
    <w:rsid w:val="00763BCF"/>
    <w:rsid w:val="00764603"/>
    <w:rsid w:val="00764F83"/>
    <w:rsid w:val="0076604D"/>
    <w:rsid w:val="00766B5D"/>
    <w:rsid w:val="00767BC7"/>
    <w:rsid w:val="00767DA6"/>
    <w:rsid w:val="00771AA8"/>
    <w:rsid w:val="00772229"/>
    <w:rsid w:val="0077289E"/>
    <w:rsid w:val="00774986"/>
    <w:rsid w:val="007749EC"/>
    <w:rsid w:val="00774FFB"/>
    <w:rsid w:val="0077775A"/>
    <w:rsid w:val="00777A4F"/>
    <w:rsid w:val="00781B5C"/>
    <w:rsid w:val="00782AD2"/>
    <w:rsid w:val="00782E26"/>
    <w:rsid w:val="00783820"/>
    <w:rsid w:val="00787395"/>
    <w:rsid w:val="00790909"/>
    <w:rsid w:val="00791429"/>
    <w:rsid w:val="00793284"/>
    <w:rsid w:val="0079435C"/>
    <w:rsid w:val="00795531"/>
    <w:rsid w:val="00795781"/>
    <w:rsid w:val="0079618F"/>
    <w:rsid w:val="00797262"/>
    <w:rsid w:val="00797368"/>
    <w:rsid w:val="007A0C1F"/>
    <w:rsid w:val="007A1DC0"/>
    <w:rsid w:val="007A248D"/>
    <w:rsid w:val="007A2820"/>
    <w:rsid w:val="007A4623"/>
    <w:rsid w:val="007A465F"/>
    <w:rsid w:val="007A4759"/>
    <w:rsid w:val="007A5F68"/>
    <w:rsid w:val="007A600F"/>
    <w:rsid w:val="007A64B4"/>
    <w:rsid w:val="007A657F"/>
    <w:rsid w:val="007A681E"/>
    <w:rsid w:val="007B06D3"/>
    <w:rsid w:val="007B0FF5"/>
    <w:rsid w:val="007B1904"/>
    <w:rsid w:val="007B2A2D"/>
    <w:rsid w:val="007B401A"/>
    <w:rsid w:val="007B4BC7"/>
    <w:rsid w:val="007B5A07"/>
    <w:rsid w:val="007B79EE"/>
    <w:rsid w:val="007C110F"/>
    <w:rsid w:val="007C1A1E"/>
    <w:rsid w:val="007C287D"/>
    <w:rsid w:val="007C3E52"/>
    <w:rsid w:val="007C4285"/>
    <w:rsid w:val="007C661F"/>
    <w:rsid w:val="007C6F02"/>
    <w:rsid w:val="007C7F93"/>
    <w:rsid w:val="007D203E"/>
    <w:rsid w:val="007D2688"/>
    <w:rsid w:val="007D3E71"/>
    <w:rsid w:val="007D4795"/>
    <w:rsid w:val="007D5786"/>
    <w:rsid w:val="007D62F4"/>
    <w:rsid w:val="007D64F1"/>
    <w:rsid w:val="007E0974"/>
    <w:rsid w:val="007E0FB7"/>
    <w:rsid w:val="007E2516"/>
    <w:rsid w:val="007E2FC0"/>
    <w:rsid w:val="007E41A6"/>
    <w:rsid w:val="007E53BE"/>
    <w:rsid w:val="007E5571"/>
    <w:rsid w:val="007E5750"/>
    <w:rsid w:val="007E5D6A"/>
    <w:rsid w:val="007E645D"/>
    <w:rsid w:val="007E6801"/>
    <w:rsid w:val="007E7647"/>
    <w:rsid w:val="007E7A0F"/>
    <w:rsid w:val="007F0108"/>
    <w:rsid w:val="007F0DC3"/>
    <w:rsid w:val="007F33FD"/>
    <w:rsid w:val="007F646E"/>
    <w:rsid w:val="007F726B"/>
    <w:rsid w:val="007F75CA"/>
    <w:rsid w:val="007F76F8"/>
    <w:rsid w:val="00805F5F"/>
    <w:rsid w:val="008061C7"/>
    <w:rsid w:val="0080650C"/>
    <w:rsid w:val="00807410"/>
    <w:rsid w:val="008138FA"/>
    <w:rsid w:val="00813A7E"/>
    <w:rsid w:val="00813AF9"/>
    <w:rsid w:val="00813D89"/>
    <w:rsid w:val="00816B53"/>
    <w:rsid w:val="00816D7E"/>
    <w:rsid w:val="00817153"/>
    <w:rsid w:val="00817634"/>
    <w:rsid w:val="008206D8"/>
    <w:rsid w:val="0082089B"/>
    <w:rsid w:val="00821A8C"/>
    <w:rsid w:val="00821E08"/>
    <w:rsid w:val="00822D6F"/>
    <w:rsid w:val="00822DBB"/>
    <w:rsid w:val="00823423"/>
    <w:rsid w:val="008236F5"/>
    <w:rsid w:val="00823AA4"/>
    <w:rsid w:val="00824C20"/>
    <w:rsid w:val="00825017"/>
    <w:rsid w:val="00825395"/>
    <w:rsid w:val="00825B66"/>
    <w:rsid w:val="00825C44"/>
    <w:rsid w:val="00826F19"/>
    <w:rsid w:val="00832B74"/>
    <w:rsid w:val="00834804"/>
    <w:rsid w:val="00834EFD"/>
    <w:rsid w:val="00835284"/>
    <w:rsid w:val="00835B53"/>
    <w:rsid w:val="008363E1"/>
    <w:rsid w:val="008379B6"/>
    <w:rsid w:val="00837A35"/>
    <w:rsid w:val="00837E58"/>
    <w:rsid w:val="00840138"/>
    <w:rsid w:val="00840AA8"/>
    <w:rsid w:val="00841266"/>
    <w:rsid w:val="00841826"/>
    <w:rsid w:val="00842270"/>
    <w:rsid w:val="00842899"/>
    <w:rsid w:val="008435CB"/>
    <w:rsid w:val="00843C58"/>
    <w:rsid w:val="00844B24"/>
    <w:rsid w:val="0084515F"/>
    <w:rsid w:val="0084712A"/>
    <w:rsid w:val="00847B21"/>
    <w:rsid w:val="0085092D"/>
    <w:rsid w:val="00850C13"/>
    <w:rsid w:val="0085256A"/>
    <w:rsid w:val="0085430D"/>
    <w:rsid w:val="008559B2"/>
    <w:rsid w:val="00856A6E"/>
    <w:rsid w:val="008612F4"/>
    <w:rsid w:val="008623A1"/>
    <w:rsid w:val="00862B9D"/>
    <w:rsid w:val="00863782"/>
    <w:rsid w:val="00866082"/>
    <w:rsid w:val="00866371"/>
    <w:rsid w:val="0087090C"/>
    <w:rsid w:val="008715A6"/>
    <w:rsid w:val="008715F3"/>
    <w:rsid w:val="008715F7"/>
    <w:rsid w:val="00873ECB"/>
    <w:rsid w:val="00874B73"/>
    <w:rsid w:val="00874C80"/>
    <w:rsid w:val="00875762"/>
    <w:rsid w:val="00875E10"/>
    <w:rsid w:val="0087740A"/>
    <w:rsid w:val="00877D4C"/>
    <w:rsid w:val="00881010"/>
    <w:rsid w:val="008817C9"/>
    <w:rsid w:val="00883A25"/>
    <w:rsid w:val="00887538"/>
    <w:rsid w:val="00887878"/>
    <w:rsid w:val="00890253"/>
    <w:rsid w:val="00890A6E"/>
    <w:rsid w:val="00891F4F"/>
    <w:rsid w:val="00893336"/>
    <w:rsid w:val="00893431"/>
    <w:rsid w:val="008955A1"/>
    <w:rsid w:val="00895641"/>
    <w:rsid w:val="008967C5"/>
    <w:rsid w:val="00897161"/>
    <w:rsid w:val="0089763B"/>
    <w:rsid w:val="008A17CE"/>
    <w:rsid w:val="008A1F71"/>
    <w:rsid w:val="008A269E"/>
    <w:rsid w:val="008A4FD3"/>
    <w:rsid w:val="008A518B"/>
    <w:rsid w:val="008A5CAE"/>
    <w:rsid w:val="008A66C8"/>
    <w:rsid w:val="008B1A54"/>
    <w:rsid w:val="008B2E7D"/>
    <w:rsid w:val="008B34BC"/>
    <w:rsid w:val="008B4140"/>
    <w:rsid w:val="008B42D0"/>
    <w:rsid w:val="008B69F1"/>
    <w:rsid w:val="008B6A19"/>
    <w:rsid w:val="008B6AE3"/>
    <w:rsid w:val="008B7088"/>
    <w:rsid w:val="008C1091"/>
    <w:rsid w:val="008C1513"/>
    <w:rsid w:val="008C222B"/>
    <w:rsid w:val="008C302C"/>
    <w:rsid w:val="008C30C6"/>
    <w:rsid w:val="008C523D"/>
    <w:rsid w:val="008C6337"/>
    <w:rsid w:val="008C6B37"/>
    <w:rsid w:val="008C794A"/>
    <w:rsid w:val="008D1045"/>
    <w:rsid w:val="008D191E"/>
    <w:rsid w:val="008D1BFC"/>
    <w:rsid w:val="008D1CE4"/>
    <w:rsid w:val="008D244D"/>
    <w:rsid w:val="008D2BD5"/>
    <w:rsid w:val="008D2F30"/>
    <w:rsid w:val="008D3346"/>
    <w:rsid w:val="008D3348"/>
    <w:rsid w:val="008D35A8"/>
    <w:rsid w:val="008D40A3"/>
    <w:rsid w:val="008D40AE"/>
    <w:rsid w:val="008D483A"/>
    <w:rsid w:val="008D5380"/>
    <w:rsid w:val="008D5AEC"/>
    <w:rsid w:val="008D7CF4"/>
    <w:rsid w:val="008E17C3"/>
    <w:rsid w:val="008E1B69"/>
    <w:rsid w:val="008E1EA2"/>
    <w:rsid w:val="008E1F66"/>
    <w:rsid w:val="008E2BB4"/>
    <w:rsid w:val="008E3461"/>
    <w:rsid w:val="008E4F4B"/>
    <w:rsid w:val="008E504B"/>
    <w:rsid w:val="008E5996"/>
    <w:rsid w:val="008E5C59"/>
    <w:rsid w:val="008E5E4B"/>
    <w:rsid w:val="008E6636"/>
    <w:rsid w:val="008E6C59"/>
    <w:rsid w:val="008F17B7"/>
    <w:rsid w:val="008F18FD"/>
    <w:rsid w:val="008F2283"/>
    <w:rsid w:val="008F4A43"/>
    <w:rsid w:val="008F7CBB"/>
    <w:rsid w:val="00900C2A"/>
    <w:rsid w:val="00900D08"/>
    <w:rsid w:val="009014B7"/>
    <w:rsid w:val="00901AE1"/>
    <w:rsid w:val="00903BBF"/>
    <w:rsid w:val="00905E95"/>
    <w:rsid w:val="009120A6"/>
    <w:rsid w:val="0091335F"/>
    <w:rsid w:val="009205B4"/>
    <w:rsid w:val="00921415"/>
    <w:rsid w:val="009231E7"/>
    <w:rsid w:val="009242E8"/>
    <w:rsid w:val="009246F5"/>
    <w:rsid w:val="00924FEF"/>
    <w:rsid w:val="00925568"/>
    <w:rsid w:val="00925FC5"/>
    <w:rsid w:val="00926F97"/>
    <w:rsid w:val="0093117E"/>
    <w:rsid w:val="00932058"/>
    <w:rsid w:val="00932B47"/>
    <w:rsid w:val="00932D2B"/>
    <w:rsid w:val="00933818"/>
    <w:rsid w:val="009343CE"/>
    <w:rsid w:val="00936931"/>
    <w:rsid w:val="00936D71"/>
    <w:rsid w:val="00937C8F"/>
    <w:rsid w:val="009418BE"/>
    <w:rsid w:val="00941A21"/>
    <w:rsid w:val="00941D9C"/>
    <w:rsid w:val="00943399"/>
    <w:rsid w:val="0094417C"/>
    <w:rsid w:val="00944827"/>
    <w:rsid w:val="009448DD"/>
    <w:rsid w:val="00950C90"/>
    <w:rsid w:val="00951692"/>
    <w:rsid w:val="0095203B"/>
    <w:rsid w:val="00952635"/>
    <w:rsid w:val="00954D45"/>
    <w:rsid w:val="00955B59"/>
    <w:rsid w:val="00956383"/>
    <w:rsid w:val="0096257B"/>
    <w:rsid w:val="00963A51"/>
    <w:rsid w:val="009643AA"/>
    <w:rsid w:val="00967EFC"/>
    <w:rsid w:val="009708E3"/>
    <w:rsid w:val="009709CA"/>
    <w:rsid w:val="00971148"/>
    <w:rsid w:val="00973704"/>
    <w:rsid w:val="009741F0"/>
    <w:rsid w:val="00974962"/>
    <w:rsid w:val="00974A8B"/>
    <w:rsid w:val="009758EF"/>
    <w:rsid w:val="00975B2C"/>
    <w:rsid w:val="009760EB"/>
    <w:rsid w:val="00976910"/>
    <w:rsid w:val="00977261"/>
    <w:rsid w:val="009777E8"/>
    <w:rsid w:val="009779B2"/>
    <w:rsid w:val="00977DC5"/>
    <w:rsid w:val="0098330A"/>
    <w:rsid w:val="00983BE4"/>
    <w:rsid w:val="0098455B"/>
    <w:rsid w:val="00984A4C"/>
    <w:rsid w:val="00984EDB"/>
    <w:rsid w:val="00985457"/>
    <w:rsid w:val="009855B5"/>
    <w:rsid w:val="009862D7"/>
    <w:rsid w:val="0099088F"/>
    <w:rsid w:val="009913C8"/>
    <w:rsid w:val="00991BA0"/>
    <w:rsid w:val="00992262"/>
    <w:rsid w:val="009926BC"/>
    <w:rsid w:val="0099290F"/>
    <w:rsid w:val="00993993"/>
    <w:rsid w:val="00993EA3"/>
    <w:rsid w:val="0099532F"/>
    <w:rsid w:val="009969CC"/>
    <w:rsid w:val="0099707E"/>
    <w:rsid w:val="009A0740"/>
    <w:rsid w:val="009A0D92"/>
    <w:rsid w:val="009A113E"/>
    <w:rsid w:val="009A13D0"/>
    <w:rsid w:val="009A26ED"/>
    <w:rsid w:val="009A3BC5"/>
    <w:rsid w:val="009A3DE5"/>
    <w:rsid w:val="009A4319"/>
    <w:rsid w:val="009A600C"/>
    <w:rsid w:val="009A6467"/>
    <w:rsid w:val="009A6C3F"/>
    <w:rsid w:val="009A6E78"/>
    <w:rsid w:val="009A7B03"/>
    <w:rsid w:val="009B1B20"/>
    <w:rsid w:val="009B2218"/>
    <w:rsid w:val="009B2E45"/>
    <w:rsid w:val="009B32AF"/>
    <w:rsid w:val="009B3C5B"/>
    <w:rsid w:val="009B3CC1"/>
    <w:rsid w:val="009B3F8F"/>
    <w:rsid w:val="009B4818"/>
    <w:rsid w:val="009B51E2"/>
    <w:rsid w:val="009B65C2"/>
    <w:rsid w:val="009B73F2"/>
    <w:rsid w:val="009B7557"/>
    <w:rsid w:val="009C0AF5"/>
    <w:rsid w:val="009C0CA7"/>
    <w:rsid w:val="009C12BD"/>
    <w:rsid w:val="009C1E16"/>
    <w:rsid w:val="009C50FE"/>
    <w:rsid w:val="009C593D"/>
    <w:rsid w:val="009C616A"/>
    <w:rsid w:val="009C63B9"/>
    <w:rsid w:val="009C660F"/>
    <w:rsid w:val="009D1185"/>
    <w:rsid w:val="009D1195"/>
    <w:rsid w:val="009D1349"/>
    <w:rsid w:val="009D2A62"/>
    <w:rsid w:val="009D431A"/>
    <w:rsid w:val="009D54C1"/>
    <w:rsid w:val="009D580F"/>
    <w:rsid w:val="009D5819"/>
    <w:rsid w:val="009D649B"/>
    <w:rsid w:val="009D7604"/>
    <w:rsid w:val="009D7679"/>
    <w:rsid w:val="009D78F3"/>
    <w:rsid w:val="009D7F5E"/>
    <w:rsid w:val="009E03E1"/>
    <w:rsid w:val="009E111C"/>
    <w:rsid w:val="009E5817"/>
    <w:rsid w:val="009E6305"/>
    <w:rsid w:val="009E6C69"/>
    <w:rsid w:val="009E7F87"/>
    <w:rsid w:val="009F0377"/>
    <w:rsid w:val="009F0687"/>
    <w:rsid w:val="009F0CB8"/>
    <w:rsid w:val="009F387B"/>
    <w:rsid w:val="009F4644"/>
    <w:rsid w:val="009F58F8"/>
    <w:rsid w:val="00A008FF"/>
    <w:rsid w:val="00A00A03"/>
    <w:rsid w:val="00A03E75"/>
    <w:rsid w:val="00A072DF"/>
    <w:rsid w:val="00A07D13"/>
    <w:rsid w:val="00A10A6E"/>
    <w:rsid w:val="00A10BB2"/>
    <w:rsid w:val="00A11E7C"/>
    <w:rsid w:val="00A126B2"/>
    <w:rsid w:val="00A14664"/>
    <w:rsid w:val="00A14BBB"/>
    <w:rsid w:val="00A157E4"/>
    <w:rsid w:val="00A161A7"/>
    <w:rsid w:val="00A16A93"/>
    <w:rsid w:val="00A2340F"/>
    <w:rsid w:val="00A2748A"/>
    <w:rsid w:val="00A279F6"/>
    <w:rsid w:val="00A30203"/>
    <w:rsid w:val="00A31F5E"/>
    <w:rsid w:val="00A32EEC"/>
    <w:rsid w:val="00A358B9"/>
    <w:rsid w:val="00A35D4A"/>
    <w:rsid w:val="00A37752"/>
    <w:rsid w:val="00A40736"/>
    <w:rsid w:val="00A40A91"/>
    <w:rsid w:val="00A40DF4"/>
    <w:rsid w:val="00A40F49"/>
    <w:rsid w:val="00A41645"/>
    <w:rsid w:val="00A44FB3"/>
    <w:rsid w:val="00A4503C"/>
    <w:rsid w:val="00A45FCE"/>
    <w:rsid w:val="00A47779"/>
    <w:rsid w:val="00A50336"/>
    <w:rsid w:val="00A51320"/>
    <w:rsid w:val="00A5310F"/>
    <w:rsid w:val="00A533F4"/>
    <w:rsid w:val="00A551DD"/>
    <w:rsid w:val="00A558C5"/>
    <w:rsid w:val="00A626E9"/>
    <w:rsid w:val="00A62B4C"/>
    <w:rsid w:val="00A62CA5"/>
    <w:rsid w:val="00A63FC1"/>
    <w:rsid w:val="00A65A63"/>
    <w:rsid w:val="00A664D9"/>
    <w:rsid w:val="00A66FA7"/>
    <w:rsid w:val="00A67779"/>
    <w:rsid w:val="00A708F7"/>
    <w:rsid w:val="00A70BC9"/>
    <w:rsid w:val="00A71B89"/>
    <w:rsid w:val="00A7224F"/>
    <w:rsid w:val="00A722CB"/>
    <w:rsid w:val="00A72B4A"/>
    <w:rsid w:val="00A73D93"/>
    <w:rsid w:val="00A73E91"/>
    <w:rsid w:val="00A75671"/>
    <w:rsid w:val="00A773C7"/>
    <w:rsid w:val="00A773CC"/>
    <w:rsid w:val="00A80542"/>
    <w:rsid w:val="00A80C3D"/>
    <w:rsid w:val="00A8211E"/>
    <w:rsid w:val="00A846CB"/>
    <w:rsid w:val="00A84900"/>
    <w:rsid w:val="00A85602"/>
    <w:rsid w:val="00A86705"/>
    <w:rsid w:val="00A8689A"/>
    <w:rsid w:val="00A86D7D"/>
    <w:rsid w:val="00A91023"/>
    <w:rsid w:val="00A91618"/>
    <w:rsid w:val="00A927F9"/>
    <w:rsid w:val="00A9318B"/>
    <w:rsid w:val="00A934F8"/>
    <w:rsid w:val="00A93A41"/>
    <w:rsid w:val="00A93CC1"/>
    <w:rsid w:val="00A941D4"/>
    <w:rsid w:val="00A9446C"/>
    <w:rsid w:val="00A9451B"/>
    <w:rsid w:val="00A949DF"/>
    <w:rsid w:val="00A94AC1"/>
    <w:rsid w:val="00A94BD1"/>
    <w:rsid w:val="00A955F5"/>
    <w:rsid w:val="00A9642D"/>
    <w:rsid w:val="00A977F9"/>
    <w:rsid w:val="00AA1878"/>
    <w:rsid w:val="00AA240A"/>
    <w:rsid w:val="00AA29D3"/>
    <w:rsid w:val="00AA2BE7"/>
    <w:rsid w:val="00AA2CA3"/>
    <w:rsid w:val="00AA3815"/>
    <w:rsid w:val="00AA5E83"/>
    <w:rsid w:val="00AA7884"/>
    <w:rsid w:val="00AB18B7"/>
    <w:rsid w:val="00AB49E3"/>
    <w:rsid w:val="00AB5A4E"/>
    <w:rsid w:val="00AB61FD"/>
    <w:rsid w:val="00AC0F41"/>
    <w:rsid w:val="00AC152B"/>
    <w:rsid w:val="00AC15F1"/>
    <w:rsid w:val="00AC1D78"/>
    <w:rsid w:val="00AC24CC"/>
    <w:rsid w:val="00AC2A65"/>
    <w:rsid w:val="00AC35DC"/>
    <w:rsid w:val="00AC36FB"/>
    <w:rsid w:val="00AC3DD8"/>
    <w:rsid w:val="00AC5929"/>
    <w:rsid w:val="00AC5C35"/>
    <w:rsid w:val="00AC5CC3"/>
    <w:rsid w:val="00AC67E9"/>
    <w:rsid w:val="00AD0077"/>
    <w:rsid w:val="00AD094C"/>
    <w:rsid w:val="00AD1A47"/>
    <w:rsid w:val="00AD335D"/>
    <w:rsid w:val="00AD47D0"/>
    <w:rsid w:val="00AD48D3"/>
    <w:rsid w:val="00AD4AC4"/>
    <w:rsid w:val="00AD4DC4"/>
    <w:rsid w:val="00AD556F"/>
    <w:rsid w:val="00AD66FA"/>
    <w:rsid w:val="00AE1121"/>
    <w:rsid w:val="00AE3988"/>
    <w:rsid w:val="00AE4B0F"/>
    <w:rsid w:val="00AE5FC9"/>
    <w:rsid w:val="00AE6451"/>
    <w:rsid w:val="00AE6E4D"/>
    <w:rsid w:val="00AF3424"/>
    <w:rsid w:val="00AF47FB"/>
    <w:rsid w:val="00AF4B3E"/>
    <w:rsid w:val="00AF4B5B"/>
    <w:rsid w:val="00AF5680"/>
    <w:rsid w:val="00AF59C9"/>
    <w:rsid w:val="00AF601B"/>
    <w:rsid w:val="00AF792B"/>
    <w:rsid w:val="00B00F28"/>
    <w:rsid w:val="00B0349B"/>
    <w:rsid w:val="00B036CD"/>
    <w:rsid w:val="00B03E7C"/>
    <w:rsid w:val="00B03F2A"/>
    <w:rsid w:val="00B05000"/>
    <w:rsid w:val="00B05397"/>
    <w:rsid w:val="00B05FE2"/>
    <w:rsid w:val="00B06713"/>
    <w:rsid w:val="00B116E4"/>
    <w:rsid w:val="00B11C65"/>
    <w:rsid w:val="00B126A9"/>
    <w:rsid w:val="00B165A2"/>
    <w:rsid w:val="00B1674A"/>
    <w:rsid w:val="00B2019C"/>
    <w:rsid w:val="00B21152"/>
    <w:rsid w:val="00B2174D"/>
    <w:rsid w:val="00B2296C"/>
    <w:rsid w:val="00B2576D"/>
    <w:rsid w:val="00B264F7"/>
    <w:rsid w:val="00B265B4"/>
    <w:rsid w:val="00B271C0"/>
    <w:rsid w:val="00B303E1"/>
    <w:rsid w:val="00B31049"/>
    <w:rsid w:val="00B31A17"/>
    <w:rsid w:val="00B3343B"/>
    <w:rsid w:val="00B33C28"/>
    <w:rsid w:val="00B34416"/>
    <w:rsid w:val="00B35B2C"/>
    <w:rsid w:val="00B35E6F"/>
    <w:rsid w:val="00B364D2"/>
    <w:rsid w:val="00B366C5"/>
    <w:rsid w:val="00B366D5"/>
    <w:rsid w:val="00B36B0C"/>
    <w:rsid w:val="00B370B7"/>
    <w:rsid w:val="00B37A9C"/>
    <w:rsid w:val="00B41749"/>
    <w:rsid w:val="00B42573"/>
    <w:rsid w:val="00B428A9"/>
    <w:rsid w:val="00B43CE6"/>
    <w:rsid w:val="00B44BE3"/>
    <w:rsid w:val="00B44C88"/>
    <w:rsid w:val="00B466C3"/>
    <w:rsid w:val="00B4739F"/>
    <w:rsid w:val="00B4784B"/>
    <w:rsid w:val="00B50A63"/>
    <w:rsid w:val="00B532CF"/>
    <w:rsid w:val="00B5396A"/>
    <w:rsid w:val="00B53CE9"/>
    <w:rsid w:val="00B54B4A"/>
    <w:rsid w:val="00B54FDE"/>
    <w:rsid w:val="00B55044"/>
    <w:rsid w:val="00B55082"/>
    <w:rsid w:val="00B55D5E"/>
    <w:rsid w:val="00B57011"/>
    <w:rsid w:val="00B60984"/>
    <w:rsid w:val="00B61515"/>
    <w:rsid w:val="00B61A2E"/>
    <w:rsid w:val="00B63E57"/>
    <w:rsid w:val="00B64255"/>
    <w:rsid w:val="00B65875"/>
    <w:rsid w:val="00B65B92"/>
    <w:rsid w:val="00B65F02"/>
    <w:rsid w:val="00B70D1D"/>
    <w:rsid w:val="00B714D4"/>
    <w:rsid w:val="00B72752"/>
    <w:rsid w:val="00B72A4F"/>
    <w:rsid w:val="00B73B2F"/>
    <w:rsid w:val="00B73CF3"/>
    <w:rsid w:val="00B74939"/>
    <w:rsid w:val="00B74CFA"/>
    <w:rsid w:val="00B75E83"/>
    <w:rsid w:val="00B75FB2"/>
    <w:rsid w:val="00B80BFC"/>
    <w:rsid w:val="00B81119"/>
    <w:rsid w:val="00B827BA"/>
    <w:rsid w:val="00B85E5B"/>
    <w:rsid w:val="00B860FE"/>
    <w:rsid w:val="00B91983"/>
    <w:rsid w:val="00B921D4"/>
    <w:rsid w:val="00B9322D"/>
    <w:rsid w:val="00B94516"/>
    <w:rsid w:val="00B94A48"/>
    <w:rsid w:val="00B94D5E"/>
    <w:rsid w:val="00B962E8"/>
    <w:rsid w:val="00B9656C"/>
    <w:rsid w:val="00B972F7"/>
    <w:rsid w:val="00B9753A"/>
    <w:rsid w:val="00BA0AF5"/>
    <w:rsid w:val="00BA253E"/>
    <w:rsid w:val="00BA3ED7"/>
    <w:rsid w:val="00BA3F20"/>
    <w:rsid w:val="00BA412B"/>
    <w:rsid w:val="00BA4774"/>
    <w:rsid w:val="00BA4AC0"/>
    <w:rsid w:val="00BA4DCE"/>
    <w:rsid w:val="00BB1584"/>
    <w:rsid w:val="00BB1749"/>
    <w:rsid w:val="00BB214C"/>
    <w:rsid w:val="00BB21AF"/>
    <w:rsid w:val="00BB2855"/>
    <w:rsid w:val="00BB293C"/>
    <w:rsid w:val="00BB3051"/>
    <w:rsid w:val="00BB37AB"/>
    <w:rsid w:val="00BB4AA1"/>
    <w:rsid w:val="00BB55C1"/>
    <w:rsid w:val="00BB6338"/>
    <w:rsid w:val="00BB75D5"/>
    <w:rsid w:val="00BB7B25"/>
    <w:rsid w:val="00BC09A1"/>
    <w:rsid w:val="00BC1E78"/>
    <w:rsid w:val="00BC2E0A"/>
    <w:rsid w:val="00BC5607"/>
    <w:rsid w:val="00BC579E"/>
    <w:rsid w:val="00BC74A9"/>
    <w:rsid w:val="00BD15D8"/>
    <w:rsid w:val="00BD164E"/>
    <w:rsid w:val="00BD19C1"/>
    <w:rsid w:val="00BD2207"/>
    <w:rsid w:val="00BD25B8"/>
    <w:rsid w:val="00BD3967"/>
    <w:rsid w:val="00BD4D42"/>
    <w:rsid w:val="00BD5C42"/>
    <w:rsid w:val="00BD67C6"/>
    <w:rsid w:val="00BD6E02"/>
    <w:rsid w:val="00BE0B74"/>
    <w:rsid w:val="00BE2364"/>
    <w:rsid w:val="00BE44A2"/>
    <w:rsid w:val="00BE4B3B"/>
    <w:rsid w:val="00BE4BFC"/>
    <w:rsid w:val="00BE55B9"/>
    <w:rsid w:val="00BE55BD"/>
    <w:rsid w:val="00BF0091"/>
    <w:rsid w:val="00BF0426"/>
    <w:rsid w:val="00BF1992"/>
    <w:rsid w:val="00BF2FF1"/>
    <w:rsid w:val="00BF31EF"/>
    <w:rsid w:val="00BF473A"/>
    <w:rsid w:val="00BF5DA8"/>
    <w:rsid w:val="00BF7F54"/>
    <w:rsid w:val="00C00212"/>
    <w:rsid w:val="00C012E1"/>
    <w:rsid w:val="00C03175"/>
    <w:rsid w:val="00C046FB"/>
    <w:rsid w:val="00C06B0E"/>
    <w:rsid w:val="00C06BB4"/>
    <w:rsid w:val="00C06BE4"/>
    <w:rsid w:val="00C07239"/>
    <w:rsid w:val="00C10D20"/>
    <w:rsid w:val="00C126F4"/>
    <w:rsid w:val="00C12B6D"/>
    <w:rsid w:val="00C12E0C"/>
    <w:rsid w:val="00C131F0"/>
    <w:rsid w:val="00C13A95"/>
    <w:rsid w:val="00C14E51"/>
    <w:rsid w:val="00C163F6"/>
    <w:rsid w:val="00C166AC"/>
    <w:rsid w:val="00C16E0F"/>
    <w:rsid w:val="00C17A8A"/>
    <w:rsid w:val="00C21594"/>
    <w:rsid w:val="00C21916"/>
    <w:rsid w:val="00C22575"/>
    <w:rsid w:val="00C238B4"/>
    <w:rsid w:val="00C23D51"/>
    <w:rsid w:val="00C24486"/>
    <w:rsid w:val="00C249FB"/>
    <w:rsid w:val="00C25477"/>
    <w:rsid w:val="00C256F0"/>
    <w:rsid w:val="00C27564"/>
    <w:rsid w:val="00C27806"/>
    <w:rsid w:val="00C30067"/>
    <w:rsid w:val="00C3021E"/>
    <w:rsid w:val="00C30BA3"/>
    <w:rsid w:val="00C31A11"/>
    <w:rsid w:val="00C31B04"/>
    <w:rsid w:val="00C3221E"/>
    <w:rsid w:val="00C32C4E"/>
    <w:rsid w:val="00C336A1"/>
    <w:rsid w:val="00C34933"/>
    <w:rsid w:val="00C34DDB"/>
    <w:rsid w:val="00C365D1"/>
    <w:rsid w:val="00C36F55"/>
    <w:rsid w:val="00C4141A"/>
    <w:rsid w:val="00C41AEC"/>
    <w:rsid w:val="00C42FAC"/>
    <w:rsid w:val="00C457CA"/>
    <w:rsid w:val="00C4678F"/>
    <w:rsid w:val="00C51BF9"/>
    <w:rsid w:val="00C51CDF"/>
    <w:rsid w:val="00C52AC7"/>
    <w:rsid w:val="00C53D65"/>
    <w:rsid w:val="00C545A5"/>
    <w:rsid w:val="00C563DD"/>
    <w:rsid w:val="00C57415"/>
    <w:rsid w:val="00C57FB7"/>
    <w:rsid w:val="00C61425"/>
    <w:rsid w:val="00C61932"/>
    <w:rsid w:val="00C61A70"/>
    <w:rsid w:val="00C63CDF"/>
    <w:rsid w:val="00C64146"/>
    <w:rsid w:val="00C64A78"/>
    <w:rsid w:val="00C65F3F"/>
    <w:rsid w:val="00C67BE5"/>
    <w:rsid w:val="00C70A60"/>
    <w:rsid w:val="00C716F6"/>
    <w:rsid w:val="00C7234F"/>
    <w:rsid w:val="00C72414"/>
    <w:rsid w:val="00C729DF"/>
    <w:rsid w:val="00C72CD5"/>
    <w:rsid w:val="00C737ED"/>
    <w:rsid w:val="00C740FB"/>
    <w:rsid w:val="00C765A7"/>
    <w:rsid w:val="00C81A7F"/>
    <w:rsid w:val="00C82C85"/>
    <w:rsid w:val="00C83B5B"/>
    <w:rsid w:val="00C85E4B"/>
    <w:rsid w:val="00C8667B"/>
    <w:rsid w:val="00C8792A"/>
    <w:rsid w:val="00C91915"/>
    <w:rsid w:val="00C92CDA"/>
    <w:rsid w:val="00C93374"/>
    <w:rsid w:val="00C93784"/>
    <w:rsid w:val="00C93A1B"/>
    <w:rsid w:val="00C93E7D"/>
    <w:rsid w:val="00C947EC"/>
    <w:rsid w:val="00C94CB9"/>
    <w:rsid w:val="00C955B7"/>
    <w:rsid w:val="00C9623B"/>
    <w:rsid w:val="00C96555"/>
    <w:rsid w:val="00C97729"/>
    <w:rsid w:val="00CA08BD"/>
    <w:rsid w:val="00CA1A15"/>
    <w:rsid w:val="00CA1CEA"/>
    <w:rsid w:val="00CA20CE"/>
    <w:rsid w:val="00CA2BAB"/>
    <w:rsid w:val="00CA3707"/>
    <w:rsid w:val="00CA4CE3"/>
    <w:rsid w:val="00CA7C22"/>
    <w:rsid w:val="00CB0B8C"/>
    <w:rsid w:val="00CB0F84"/>
    <w:rsid w:val="00CB2E2F"/>
    <w:rsid w:val="00CB3F21"/>
    <w:rsid w:val="00CB4227"/>
    <w:rsid w:val="00CB4FAD"/>
    <w:rsid w:val="00CB6190"/>
    <w:rsid w:val="00CC0659"/>
    <w:rsid w:val="00CC4F3B"/>
    <w:rsid w:val="00CC7327"/>
    <w:rsid w:val="00CC787F"/>
    <w:rsid w:val="00CD0844"/>
    <w:rsid w:val="00CD0C62"/>
    <w:rsid w:val="00CD119C"/>
    <w:rsid w:val="00CD13CC"/>
    <w:rsid w:val="00CD33D1"/>
    <w:rsid w:val="00CD4064"/>
    <w:rsid w:val="00CD46C4"/>
    <w:rsid w:val="00CD4AE6"/>
    <w:rsid w:val="00CD4F3F"/>
    <w:rsid w:val="00CD6FCB"/>
    <w:rsid w:val="00CD7098"/>
    <w:rsid w:val="00CD7810"/>
    <w:rsid w:val="00CE0DE3"/>
    <w:rsid w:val="00CE2459"/>
    <w:rsid w:val="00CE4240"/>
    <w:rsid w:val="00CE6AC6"/>
    <w:rsid w:val="00CE79E7"/>
    <w:rsid w:val="00CE7F62"/>
    <w:rsid w:val="00CF02E0"/>
    <w:rsid w:val="00CF201F"/>
    <w:rsid w:val="00CF2DFC"/>
    <w:rsid w:val="00CF3025"/>
    <w:rsid w:val="00CF6FBE"/>
    <w:rsid w:val="00CF7697"/>
    <w:rsid w:val="00D009A7"/>
    <w:rsid w:val="00D00E0A"/>
    <w:rsid w:val="00D00FB8"/>
    <w:rsid w:val="00D01E44"/>
    <w:rsid w:val="00D02E73"/>
    <w:rsid w:val="00D03A37"/>
    <w:rsid w:val="00D074E2"/>
    <w:rsid w:val="00D075B6"/>
    <w:rsid w:val="00D102B9"/>
    <w:rsid w:val="00D1094C"/>
    <w:rsid w:val="00D10D06"/>
    <w:rsid w:val="00D10FC9"/>
    <w:rsid w:val="00D113A4"/>
    <w:rsid w:val="00D122BD"/>
    <w:rsid w:val="00D12A09"/>
    <w:rsid w:val="00D132DB"/>
    <w:rsid w:val="00D1516F"/>
    <w:rsid w:val="00D154C4"/>
    <w:rsid w:val="00D17F65"/>
    <w:rsid w:val="00D20262"/>
    <w:rsid w:val="00D2157E"/>
    <w:rsid w:val="00D2194F"/>
    <w:rsid w:val="00D22175"/>
    <w:rsid w:val="00D22319"/>
    <w:rsid w:val="00D2572E"/>
    <w:rsid w:val="00D26A85"/>
    <w:rsid w:val="00D278A2"/>
    <w:rsid w:val="00D311F8"/>
    <w:rsid w:val="00D326AB"/>
    <w:rsid w:val="00D32A24"/>
    <w:rsid w:val="00D3410A"/>
    <w:rsid w:val="00D361D8"/>
    <w:rsid w:val="00D364A4"/>
    <w:rsid w:val="00D36B52"/>
    <w:rsid w:val="00D377C8"/>
    <w:rsid w:val="00D37C48"/>
    <w:rsid w:val="00D41099"/>
    <w:rsid w:val="00D41274"/>
    <w:rsid w:val="00D412B5"/>
    <w:rsid w:val="00D41D99"/>
    <w:rsid w:val="00D42095"/>
    <w:rsid w:val="00D43050"/>
    <w:rsid w:val="00D43562"/>
    <w:rsid w:val="00D43BF3"/>
    <w:rsid w:val="00D44E4C"/>
    <w:rsid w:val="00D47AF4"/>
    <w:rsid w:val="00D5290F"/>
    <w:rsid w:val="00D52D99"/>
    <w:rsid w:val="00D53A7A"/>
    <w:rsid w:val="00D54628"/>
    <w:rsid w:val="00D54900"/>
    <w:rsid w:val="00D579AB"/>
    <w:rsid w:val="00D60EF2"/>
    <w:rsid w:val="00D62A13"/>
    <w:rsid w:val="00D64AF0"/>
    <w:rsid w:val="00D6650F"/>
    <w:rsid w:val="00D6760D"/>
    <w:rsid w:val="00D70D8F"/>
    <w:rsid w:val="00D715C9"/>
    <w:rsid w:val="00D71B46"/>
    <w:rsid w:val="00D7245C"/>
    <w:rsid w:val="00D73731"/>
    <w:rsid w:val="00D73A0D"/>
    <w:rsid w:val="00D74066"/>
    <w:rsid w:val="00D743E0"/>
    <w:rsid w:val="00D7487B"/>
    <w:rsid w:val="00D7588D"/>
    <w:rsid w:val="00D767BB"/>
    <w:rsid w:val="00D769B2"/>
    <w:rsid w:val="00D769FE"/>
    <w:rsid w:val="00D76A3D"/>
    <w:rsid w:val="00D773F3"/>
    <w:rsid w:val="00D77B43"/>
    <w:rsid w:val="00D80197"/>
    <w:rsid w:val="00D802FD"/>
    <w:rsid w:val="00D80766"/>
    <w:rsid w:val="00D80EB4"/>
    <w:rsid w:val="00D826BF"/>
    <w:rsid w:val="00D8312C"/>
    <w:rsid w:val="00D83B90"/>
    <w:rsid w:val="00D83FF9"/>
    <w:rsid w:val="00D85560"/>
    <w:rsid w:val="00D87996"/>
    <w:rsid w:val="00D90C1B"/>
    <w:rsid w:val="00D9212B"/>
    <w:rsid w:val="00D92F34"/>
    <w:rsid w:val="00D939B0"/>
    <w:rsid w:val="00D93D7C"/>
    <w:rsid w:val="00D943E7"/>
    <w:rsid w:val="00D96059"/>
    <w:rsid w:val="00D97FBA"/>
    <w:rsid w:val="00DA0C45"/>
    <w:rsid w:val="00DA1ACD"/>
    <w:rsid w:val="00DA1C6A"/>
    <w:rsid w:val="00DA4418"/>
    <w:rsid w:val="00DA50AE"/>
    <w:rsid w:val="00DA6419"/>
    <w:rsid w:val="00DA6576"/>
    <w:rsid w:val="00DA728A"/>
    <w:rsid w:val="00DA7C33"/>
    <w:rsid w:val="00DB000C"/>
    <w:rsid w:val="00DB067C"/>
    <w:rsid w:val="00DB16E0"/>
    <w:rsid w:val="00DB20D8"/>
    <w:rsid w:val="00DB2633"/>
    <w:rsid w:val="00DB2DF9"/>
    <w:rsid w:val="00DB3E08"/>
    <w:rsid w:val="00DB4126"/>
    <w:rsid w:val="00DB446D"/>
    <w:rsid w:val="00DB65D4"/>
    <w:rsid w:val="00DB66B2"/>
    <w:rsid w:val="00DB6B79"/>
    <w:rsid w:val="00DB6B7A"/>
    <w:rsid w:val="00DB7E63"/>
    <w:rsid w:val="00DC1A7D"/>
    <w:rsid w:val="00DC1C95"/>
    <w:rsid w:val="00DC2055"/>
    <w:rsid w:val="00DC2AE2"/>
    <w:rsid w:val="00DC3449"/>
    <w:rsid w:val="00DC494B"/>
    <w:rsid w:val="00DC4ABC"/>
    <w:rsid w:val="00DC4D82"/>
    <w:rsid w:val="00DC514E"/>
    <w:rsid w:val="00DC519D"/>
    <w:rsid w:val="00DC6294"/>
    <w:rsid w:val="00DC67CD"/>
    <w:rsid w:val="00DC73EE"/>
    <w:rsid w:val="00DC7749"/>
    <w:rsid w:val="00DC7E0D"/>
    <w:rsid w:val="00DC7EB7"/>
    <w:rsid w:val="00DD0150"/>
    <w:rsid w:val="00DD49DF"/>
    <w:rsid w:val="00DD4B93"/>
    <w:rsid w:val="00DD4C65"/>
    <w:rsid w:val="00DD5813"/>
    <w:rsid w:val="00DD71E8"/>
    <w:rsid w:val="00DD7E9B"/>
    <w:rsid w:val="00DD7F83"/>
    <w:rsid w:val="00DE0387"/>
    <w:rsid w:val="00DE0AC3"/>
    <w:rsid w:val="00DE0C79"/>
    <w:rsid w:val="00DE0F4A"/>
    <w:rsid w:val="00DE1C60"/>
    <w:rsid w:val="00DE1CEE"/>
    <w:rsid w:val="00DE27D2"/>
    <w:rsid w:val="00DE4196"/>
    <w:rsid w:val="00DE41E0"/>
    <w:rsid w:val="00DE5B56"/>
    <w:rsid w:val="00DE5F7F"/>
    <w:rsid w:val="00DF2AF7"/>
    <w:rsid w:val="00DF3722"/>
    <w:rsid w:val="00DF6493"/>
    <w:rsid w:val="00DF709F"/>
    <w:rsid w:val="00DF7818"/>
    <w:rsid w:val="00E009AB"/>
    <w:rsid w:val="00E00EF5"/>
    <w:rsid w:val="00E02106"/>
    <w:rsid w:val="00E02191"/>
    <w:rsid w:val="00E03B5E"/>
    <w:rsid w:val="00E0475F"/>
    <w:rsid w:val="00E0494D"/>
    <w:rsid w:val="00E0536D"/>
    <w:rsid w:val="00E0641E"/>
    <w:rsid w:val="00E06664"/>
    <w:rsid w:val="00E06C65"/>
    <w:rsid w:val="00E10173"/>
    <w:rsid w:val="00E125B0"/>
    <w:rsid w:val="00E13D21"/>
    <w:rsid w:val="00E15E49"/>
    <w:rsid w:val="00E16078"/>
    <w:rsid w:val="00E235D5"/>
    <w:rsid w:val="00E2475A"/>
    <w:rsid w:val="00E254E5"/>
    <w:rsid w:val="00E257B7"/>
    <w:rsid w:val="00E25B2B"/>
    <w:rsid w:val="00E277EA"/>
    <w:rsid w:val="00E304BC"/>
    <w:rsid w:val="00E305A3"/>
    <w:rsid w:val="00E31510"/>
    <w:rsid w:val="00E31D8F"/>
    <w:rsid w:val="00E32853"/>
    <w:rsid w:val="00E34416"/>
    <w:rsid w:val="00E34D2F"/>
    <w:rsid w:val="00E3546A"/>
    <w:rsid w:val="00E35C4A"/>
    <w:rsid w:val="00E36671"/>
    <w:rsid w:val="00E36D97"/>
    <w:rsid w:val="00E37DE8"/>
    <w:rsid w:val="00E37EA3"/>
    <w:rsid w:val="00E4017B"/>
    <w:rsid w:val="00E401F8"/>
    <w:rsid w:val="00E417BD"/>
    <w:rsid w:val="00E433BD"/>
    <w:rsid w:val="00E446BD"/>
    <w:rsid w:val="00E448FB"/>
    <w:rsid w:val="00E45153"/>
    <w:rsid w:val="00E46425"/>
    <w:rsid w:val="00E46B29"/>
    <w:rsid w:val="00E47BBE"/>
    <w:rsid w:val="00E47D0E"/>
    <w:rsid w:val="00E50971"/>
    <w:rsid w:val="00E51067"/>
    <w:rsid w:val="00E51DD8"/>
    <w:rsid w:val="00E525CE"/>
    <w:rsid w:val="00E526DB"/>
    <w:rsid w:val="00E5345E"/>
    <w:rsid w:val="00E54C74"/>
    <w:rsid w:val="00E5510D"/>
    <w:rsid w:val="00E55839"/>
    <w:rsid w:val="00E57250"/>
    <w:rsid w:val="00E60D8D"/>
    <w:rsid w:val="00E62273"/>
    <w:rsid w:val="00E626A9"/>
    <w:rsid w:val="00E62EBA"/>
    <w:rsid w:val="00E62FF8"/>
    <w:rsid w:val="00E6324B"/>
    <w:rsid w:val="00E64221"/>
    <w:rsid w:val="00E65018"/>
    <w:rsid w:val="00E659E5"/>
    <w:rsid w:val="00E667CA"/>
    <w:rsid w:val="00E706DF"/>
    <w:rsid w:val="00E71A8B"/>
    <w:rsid w:val="00E722B0"/>
    <w:rsid w:val="00E72D8C"/>
    <w:rsid w:val="00E736D0"/>
    <w:rsid w:val="00E748E3"/>
    <w:rsid w:val="00E756D5"/>
    <w:rsid w:val="00E76774"/>
    <w:rsid w:val="00E7790B"/>
    <w:rsid w:val="00E800AA"/>
    <w:rsid w:val="00E80FCF"/>
    <w:rsid w:val="00E81207"/>
    <w:rsid w:val="00E81755"/>
    <w:rsid w:val="00E81861"/>
    <w:rsid w:val="00E81A70"/>
    <w:rsid w:val="00E8331A"/>
    <w:rsid w:val="00E84B0E"/>
    <w:rsid w:val="00E84DE0"/>
    <w:rsid w:val="00E84F6B"/>
    <w:rsid w:val="00E86244"/>
    <w:rsid w:val="00E903BF"/>
    <w:rsid w:val="00E925CC"/>
    <w:rsid w:val="00E92D43"/>
    <w:rsid w:val="00E9382A"/>
    <w:rsid w:val="00E93BD4"/>
    <w:rsid w:val="00E94339"/>
    <w:rsid w:val="00E944FD"/>
    <w:rsid w:val="00E94B27"/>
    <w:rsid w:val="00E95C4D"/>
    <w:rsid w:val="00E95D1D"/>
    <w:rsid w:val="00E95DEC"/>
    <w:rsid w:val="00E97563"/>
    <w:rsid w:val="00E97CD8"/>
    <w:rsid w:val="00EA0DB9"/>
    <w:rsid w:val="00EA4B49"/>
    <w:rsid w:val="00EA6FFE"/>
    <w:rsid w:val="00EA7B63"/>
    <w:rsid w:val="00EB0B63"/>
    <w:rsid w:val="00EB0BAC"/>
    <w:rsid w:val="00EB1D8F"/>
    <w:rsid w:val="00EB4FFD"/>
    <w:rsid w:val="00EB636B"/>
    <w:rsid w:val="00EB7462"/>
    <w:rsid w:val="00EB7AFA"/>
    <w:rsid w:val="00EC003B"/>
    <w:rsid w:val="00EC1C27"/>
    <w:rsid w:val="00EC1DB9"/>
    <w:rsid w:val="00EC265C"/>
    <w:rsid w:val="00EC31D8"/>
    <w:rsid w:val="00EC3EFA"/>
    <w:rsid w:val="00EC43C4"/>
    <w:rsid w:val="00EC4C53"/>
    <w:rsid w:val="00EC5C1A"/>
    <w:rsid w:val="00EC6910"/>
    <w:rsid w:val="00EC6CAC"/>
    <w:rsid w:val="00EC7014"/>
    <w:rsid w:val="00EC7DF3"/>
    <w:rsid w:val="00EC7F9D"/>
    <w:rsid w:val="00ED052F"/>
    <w:rsid w:val="00ED17CB"/>
    <w:rsid w:val="00ED1D44"/>
    <w:rsid w:val="00ED2101"/>
    <w:rsid w:val="00ED2CAB"/>
    <w:rsid w:val="00ED509B"/>
    <w:rsid w:val="00ED56BF"/>
    <w:rsid w:val="00ED61CB"/>
    <w:rsid w:val="00ED673A"/>
    <w:rsid w:val="00ED67EE"/>
    <w:rsid w:val="00ED75BE"/>
    <w:rsid w:val="00ED7D1D"/>
    <w:rsid w:val="00EE079A"/>
    <w:rsid w:val="00EE0935"/>
    <w:rsid w:val="00EE1F1E"/>
    <w:rsid w:val="00EE1FAA"/>
    <w:rsid w:val="00EE462C"/>
    <w:rsid w:val="00EE46D6"/>
    <w:rsid w:val="00EE511D"/>
    <w:rsid w:val="00EE570F"/>
    <w:rsid w:val="00EE5982"/>
    <w:rsid w:val="00EE7090"/>
    <w:rsid w:val="00EF0FC9"/>
    <w:rsid w:val="00EF243F"/>
    <w:rsid w:val="00EF480D"/>
    <w:rsid w:val="00EF4899"/>
    <w:rsid w:val="00EF5FA3"/>
    <w:rsid w:val="00EF6811"/>
    <w:rsid w:val="00EF6B3F"/>
    <w:rsid w:val="00EF6DA3"/>
    <w:rsid w:val="00F00237"/>
    <w:rsid w:val="00F00CE0"/>
    <w:rsid w:val="00F00FFB"/>
    <w:rsid w:val="00F01927"/>
    <w:rsid w:val="00F03F76"/>
    <w:rsid w:val="00F045A5"/>
    <w:rsid w:val="00F047AC"/>
    <w:rsid w:val="00F04AB3"/>
    <w:rsid w:val="00F04CF0"/>
    <w:rsid w:val="00F06239"/>
    <w:rsid w:val="00F06A72"/>
    <w:rsid w:val="00F109AE"/>
    <w:rsid w:val="00F10A4D"/>
    <w:rsid w:val="00F114B5"/>
    <w:rsid w:val="00F11E56"/>
    <w:rsid w:val="00F12D39"/>
    <w:rsid w:val="00F12E79"/>
    <w:rsid w:val="00F136F0"/>
    <w:rsid w:val="00F15926"/>
    <w:rsid w:val="00F15AC5"/>
    <w:rsid w:val="00F15E19"/>
    <w:rsid w:val="00F202AB"/>
    <w:rsid w:val="00F20454"/>
    <w:rsid w:val="00F20BBB"/>
    <w:rsid w:val="00F21717"/>
    <w:rsid w:val="00F21734"/>
    <w:rsid w:val="00F21763"/>
    <w:rsid w:val="00F21C3B"/>
    <w:rsid w:val="00F22C67"/>
    <w:rsid w:val="00F2552B"/>
    <w:rsid w:val="00F26A21"/>
    <w:rsid w:val="00F276D4"/>
    <w:rsid w:val="00F27C86"/>
    <w:rsid w:val="00F300FA"/>
    <w:rsid w:val="00F30570"/>
    <w:rsid w:val="00F30B84"/>
    <w:rsid w:val="00F33C1F"/>
    <w:rsid w:val="00F347D6"/>
    <w:rsid w:val="00F34F7F"/>
    <w:rsid w:val="00F36B5C"/>
    <w:rsid w:val="00F37CD0"/>
    <w:rsid w:val="00F408DD"/>
    <w:rsid w:val="00F41E87"/>
    <w:rsid w:val="00F4335E"/>
    <w:rsid w:val="00F43BD8"/>
    <w:rsid w:val="00F43C00"/>
    <w:rsid w:val="00F43C41"/>
    <w:rsid w:val="00F43F89"/>
    <w:rsid w:val="00F458C0"/>
    <w:rsid w:val="00F45D79"/>
    <w:rsid w:val="00F47541"/>
    <w:rsid w:val="00F47B88"/>
    <w:rsid w:val="00F50656"/>
    <w:rsid w:val="00F50B56"/>
    <w:rsid w:val="00F5220D"/>
    <w:rsid w:val="00F52DD9"/>
    <w:rsid w:val="00F537B1"/>
    <w:rsid w:val="00F54A1A"/>
    <w:rsid w:val="00F54A8F"/>
    <w:rsid w:val="00F554A2"/>
    <w:rsid w:val="00F554F6"/>
    <w:rsid w:val="00F5597B"/>
    <w:rsid w:val="00F562F3"/>
    <w:rsid w:val="00F57923"/>
    <w:rsid w:val="00F602B0"/>
    <w:rsid w:val="00F60739"/>
    <w:rsid w:val="00F62395"/>
    <w:rsid w:val="00F627B8"/>
    <w:rsid w:val="00F62FDE"/>
    <w:rsid w:val="00F6366A"/>
    <w:rsid w:val="00F65A27"/>
    <w:rsid w:val="00F65BE0"/>
    <w:rsid w:val="00F65CAD"/>
    <w:rsid w:val="00F70898"/>
    <w:rsid w:val="00F70A1E"/>
    <w:rsid w:val="00F714E8"/>
    <w:rsid w:val="00F72570"/>
    <w:rsid w:val="00F72F0C"/>
    <w:rsid w:val="00F73A17"/>
    <w:rsid w:val="00F74B89"/>
    <w:rsid w:val="00F75133"/>
    <w:rsid w:val="00F75956"/>
    <w:rsid w:val="00F760A6"/>
    <w:rsid w:val="00F769F8"/>
    <w:rsid w:val="00F76DE9"/>
    <w:rsid w:val="00F76FAD"/>
    <w:rsid w:val="00F807EA"/>
    <w:rsid w:val="00F83514"/>
    <w:rsid w:val="00F84046"/>
    <w:rsid w:val="00F85DA6"/>
    <w:rsid w:val="00F87D1E"/>
    <w:rsid w:val="00F92095"/>
    <w:rsid w:val="00F93982"/>
    <w:rsid w:val="00F95045"/>
    <w:rsid w:val="00F966B4"/>
    <w:rsid w:val="00FA2EF8"/>
    <w:rsid w:val="00FA2F3D"/>
    <w:rsid w:val="00FA3899"/>
    <w:rsid w:val="00FA4708"/>
    <w:rsid w:val="00FA4893"/>
    <w:rsid w:val="00FA4909"/>
    <w:rsid w:val="00FA6751"/>
    <w:rsid w:val="00FA7317"/>
    <w:rsid w:val="00FB1048"/>
    <w:rsid w:val="00FB164E"/>
    <w:rsid w:val="00FB17F0"/>
    <w:rsid w:val="00FB26BD"/>
    <w:rsid w:val="00FB3D21"/>
    <w:rsid w:val="00FB41EE"/>
    <w:rsid w:val="00FB422B"/>
    <w:rsid w:val="00FB596E"/>
    <w:rsid w:val="00FB62C4"/>
    <w:rsid w:val="00FB6363"/>
    <w:rsid w:val="00FB6565"/>
    <w:rsid w:val="00FB7415"/>
    <w:rsid w:val="00FB76A8"/>
    <w:rsid w:val="00FB76DD"/>
    <w:rsid w:val="00FB7701"/>
    <w:rsid w:val="00FB7AE2"/>
    <w:rsid w:val="00FB7EF5"/>
    <w:rsid w:val="00FC26BD"/>
    <w:rsid w:val="00FC4477"/>
    <w:rsid w:val="00FC4A44"/>
    <w:rsid w:val="00FC53A4"/>
    <w:rsid w:val="00FC5F07"/>
    <w:rsid w:val="00FC6B5B"/>
    <w:rsid w:val="00FC7B45"/>
    <w:rsid w:val="00FD0216"/>
    <w:rsid w:val="00FD19C5"/>
    <w:rsid w:val="00FD1AC5"/>
    <w:rsid w:val="00FD1C7F"/>
    <w:rsid w:val="00FD3E05"/>
    <w:rsid w:val="00FD4123"/>
    <w:rsid w:val="00FD41B3"/>
    <w:rsid w:val="00FD462A"/>
    <w:rsid w:val="00FD59B2"/>
    <w:rsid w:val="00FD5CF0"/>
    <w:rsid w:val="00FE1094"/>
    <w:rsid w:val="00FE1714"/>
    <w:rsid w:val="00FE1A59"/>
    <w:rsid w:val="00FE1D80"/>
    <w:rsid w:val="00FE2518"/>
    <w:rsid w:val="00FE28FC"/>
    <w:rsid w:val="00FE3CD4"/>
    <w:rsid w:val="00FE3F86"/>
    <w:rsid w:val="00FE4011"/>
    <w:rsid w:val="00FE5C91"/>
    <w:rsid w:val="00FE5FBD"/>
    <w:rsid w:val="00FF16D0"/>
    <w:rsid w:val="00FF1E27"/>
    <w:rsid w:val="00FF2531"/>
    <w:rsid w:val="00FF255B"/>
    <w:rsid w:val="00FF2687"/>
    <w:rsid w:val="00FF3175"/>
    <w:rsid w:val="00FF491A"/>
    <w:rsid w:val="00FF69A6"/>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DF545C"/>
  <w15:docId w15:val="{2D6F9E24-CE11-486E-BE29-55DDE43DD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gu-IN"/>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49FB"/>
    <w:rPr>
      <w:sz w:val="24"/>
      <w:szCs w:val="24"/>
      <w:lang w:val="en-AU" w:eastAsia="zh-CN" w:bidi="ar-SA"/>
    </w:rPr>
  </w:style>
  <w:style w:type="paragraph" w:styleId="Heading1">
    <w:name w:val="heading 1"/>
    <w:basedOn w:val="Normal"/>
    <w:next w:val="Normal"/>
    <w:link w:val="Heading1Char"/>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0C7AEE"/>
    <w:pPr>
      <w:keepNext/>
      <w:numPr>
        <w:ilvl w:val="2"/>
        <w:numId w:val="5"/>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C30BA3"/>
    <w:pPr>
      <w:keepNext/>
      <w:autoSpaceDE w:val="0"/>
      <w:autoSpaceDN w:val="0"/>
      <w:spacing w:before="240" w:after="60"/>
      <w:ind w:left="1152" w:hanging="720"/>
      <w:outlineLvl w:val="3"/>
    </w:pPr>
    <w:rPr>
      <w:rFonts w:eastAsia="Times New Roman"/>
      <w:i/>
      <w:iCs/>
      <w:sz w:val="18"/>
      <w:szCs w:val="18"/>
      <w:lang w:val="en-US" w:eastAsia="en-US"/>
    </w:rPr>
  </w:style>
  <w:style w:type="paragraph" w:styleId="Heading5">
    <w:name w:val="heading 5"/>
    <w:basedOn w:val="Normal"/>
    <w:next w:val="Normal"/>
    <w:link w:val="Heading5Char"/>
    <w:qFormat/>
    <w:rsid w:val="00C30BA3"/>
    <w:pPr>
      <w:autoSpaceDE w:val="0"/>
      <w:autoSpaceDN w:val="0"/>
      <w:spacing w:before="240" w:after="60"/>
      <w:ind w:left="1872" w:hanging="720"/>
      <w:outlineLvl w:val="4"/>
    </w:pPr>
    <w:rPr>
      <w:rFonts w:eastAsia="Times New Roman"/>
      <w:sz w:val="18"/>
      <w:szCs w:val="18"/>
      <w:lang w:val="en-US" w:eastAsia="en-US"/>
    </w:rPr>
  </w:style>
  <w:style w:type="paragraph" w:styleId="Heading6">
    <w:name w:val="heading 6"/>
    <w:basedOn w:val="Normal"/>
    <w:next w:val="Normal"/>
    <w:link w:val="Heading6Char"/>
    <w:qFormat/>
    <w:rsid w:val="00C30BA3"/>
    <w:pPr>
      <w:autoSpaceDE w:val="0"/>
      <w:autoSpaceDN w:val="0"/>
      <w:spacing w:before="240" w:after="60"/>
      <w:ind w:left="2592" w:hanging="720"/>
      <w:outlineLvl w:val="5"/>
    </w:pPr>
    <w:rPr>
      <w:rFonts w:eastAsia="Times New Roman"/>
      <w:i/>
      <w:iCs/>
      <w:sz w:val="16"/>
      <w:szCs w:val="16"/>
      <w:lang w:val="en-US" w:eastAsia="en-US"/>
    </w:rPr>
  </w:style>
  <w:style w:type="paragraph" w:styleId="Heading7">
    <w:name w:val="heading 7"/>
    <w:basedOn w:val="Normal"/>
    <w:next w:val="Normal"/>
    <w:link w:val="Heading7Char"/>
    <w:qFormat/>
    <w:rsid w:val="00C30BA3"/>
    <w:pPr>
      <w:autoSpaceDE w:val="0"/>
      <w:autoSpaceDN w:val="0"/>
      <w:spacing w:before="240" w:after="60"/>
      <w:ind w:left="3312" w:hanging="720"/>
      <w:outlineLvl w:val="6"/>
    </w:pPr>
    <w:rPr>
      <w:rFonts w:eastAsia="Times New Roman"/>
      <w:sz w:val="16"/>
      <w:szCs w:val="16"/>
      <w:lang w:val="en-US" w:eastAsia="en-US"/>
    </w:rPr>
  </w:style>
  <w:style w:type="paragraph" w:styleId="Heading8">
    <w:name w:val="heading 8"/>
    <w:basedOn w:val="Normal"/>
    <w:next w:val="Normal"/>
    <w:link w:val="Heading8Char"/>
    <w:qFormat/>
    <w:rsid w:val="00C30BA3"/>
    <w:pPr>
      <w:autoSpaceDE w:val="0"/>
      <w:autoSpaceDN w:val="0"/>
      <w:spacing w:before="240" w:after="60"/>
      <w:ind w:left="4032" w:hanging="720"/>
      <w:outlineLvl w:val="7"/>
    </w:pPr>
    <w:rPr>
      <w:rFonts w:eastAsia="Times New Roman"/>
      <w:i/>
      <w:iCs/>
      <w:sz w:val="16"/>
      <w:szCs w:val="16"/>
      <w:lang w:val="en-US" w:eastAsia="en-US"/>
    </w:rPr>
  </w:style>
  <w:style w:type="paragraph" w:styleId="Heading9">
    <w:name w:val="heading 9"/>
    <w:basedOn w:val="Normal"/>
    <w:next w:val="Normal"/>
    <w:link w:val="Heading9Char"/>
    <w:qFormat/>
    <w:rsid w:val="00C30BA3"/>
    <w:pPr>
      <w:autoSpaceDE w:val="0"/>
      <w:autoSpaceDN w:val="0"/>
      <w:spacing w:before="240" w:after="60"/>
      <w:ind w:left="4752" w:hanging="720"/>
      <w:outlineLvl w:val="8"/>
    </w:pPr>
    <w:rPr>
      <w:rFonts w:eastAsia="Times New Roman"/>
      <w:sz w:val="16"/>
      <w:szCs w:val="1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2"/>
      </w:numPr>
      <w:adjustRightInd w:val="0"/>
      <w:snapToGrid w:val="0"/>
      <w:spacing w:before="150" w:after="60"/>
    </w:pPr>
    <w:rPr>
      <w:i/>
      <w:sz w:val="20"/>
    </w:rPr>
  </w:style>
  <w:style w:type="paragraph" w:customStyle="1" w:styleId="IEEEAuthorEmail">
    <w:name w:val="IEEE Author Email"/>
    <w:next w:val="IEEEAuthorAffiliation"/>
    <w:uiPriority w:val="99"/>
    <w:rsid w:val="00081EBE"/>
    <w:pPr>
      <w:spacing w:after="60"/>
      <w:jc w:val="center"/>
    </w:pPr>
    <w:rPr>
      <w:rFonts w:ascii="Courier" w:eastAsia="Times New Roman" w:hAnsi="Courier"/>
      <w:sz w:val="18"/>
      <w:szCs w:val="24"/>
      <w:lang w:val="en-GB" w:eastAsia="en-GB" w:bidi="ar-SA"/>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AA1878"/>
    <w:pPr>
      <w:adjustRightInd w:val="0"/>
      <w:snapToGrid w:val="0"/>
      <w:ind w:firstLine="216"/>
      <w:jc w:val="both"/>
    </w:pPr>
    <w:rPr>
      <w:b/>
      <w:sz w:val="18"/>
      <w:lang w:val="en-GB" w:eastAsia="en-GB"/>
    </w:rPr>
  </w:style>
  <w:style w:type="character" w:customStyle="1" w:styleId="IEEEAbtractChar">
    <w:name w:val="IEEE Abtract Char"/>
    <w:link w:val="IEEEAbtract"/>
    <w:rsid w:val="00AA1878"/>
    <w:rPr>
      <w:rFonts w:eastAsia="SimSun"/>
      <w:b/>
      <w:sz w:val="18"/>
      <w:szCs w:val="24"/>
      <w:lang w:val="en-GB" w:eastAsia="en-GB" w:bidi="ar-SA"/>
    </w:rPr>
  </w:style>
  <w:style w:type="paragraph" w:customStyle="1" w:styleId="IEEEParagraph">
    <w:name w:val="IEEE Paragraph"/>
    <w:basedOn w:val="Normal"/>
    <w:link w:val="IEEEParagraphChar"/>
    <w:qFormat/>
    <w:rsid w:val="004A6605"/>
    <w:pPr>
      <w:adjustRightInd w:val="0"/>
      <w:snapToGrid w:val="0"/>
      <w:ind w:firstLine="216"/>
      <w:jc w:val="both"/>
    </w:pPr>
    <w:rPr>
      <w:sz w:val="20"/>
    </w:rPr>
  </w:style>
  <w:style w:type="paragraph" w:customStyle="1" w:styleId="IEEEHeading1">
    <w:name w:val="IEEE Heading 1"/>
    <w:basedOn w:val="Normal"/>
    <w:next w:val="IEEEParagraph"/>
    <w:rsid w:val="00273D2C"/>
    <w:pPr>
      <w:numPr>
        <w:numId w:val="4"/>
      </w:numPr>
      <w:adjustRightInd w:val="0"/>
      <w:snapToGrid w:val="0"/>
      <w:spacing w:before="180" w:after="60"/>
      <w:jc w:val="center"/>
    </w:pPr>
    <w:rPr>
      <w:smallCaps/>
      <w:sz w:val="20"/>
    </w:rPr>
  </w:style>
  <w:style w:type="table" w:styleId="TableGrid">
    <w:name w:val="Table Grid"/>
    <w:basedOn w:val="TableNormal"/>
    <w:uiPriority w:val="59"/>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uiPriority w:val="99"/>
    <w:rsid w:val="00331F84"/>
    <w:pPr>
      <w:ind w:firstLine="0"/>
      <w:jc w:val="left"/>
    </w:pPr>
    <w:rPr>
      <w:sz w:val="18"/>
    </w:rPr>
  </w:style>
  <w:style w:type="paragraph" w:customStyle="1" w:styleId="IEEETitle">
    <w:name w:val="IEEE Title"/>
    <w:basedOn w:val="Normal"/>
    <w:next w:val="IEEEAuthorName"/>
    <w:qFormat/>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1"/>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qFormat/>
    <w:rsid w:val="004A6605"/>
    <w:rPr>
      <w:rFonts w:eastAsia="SimSun"/>
      <w:sz w:val="24"/>
      <w:szCs w:val="24"/>
      <w:lang w:val="en-AU" w:eastAsia="zh-CN" w:bidi="ar-SA"/>
    </w:rPr>
  </w:style>
  <w:style w:type="numbering" w:customStyle="1" w:styleId="IEEEBullet1">
    <w:name w:val="IEEE Bullet 1"/>
    <w:basedOn w:val="NoList"/>
    <w:rsid w:val="00955B59"/>
    <w:pPr>
      <w:numPr>
        <w:numId w:val="3"/>
      </w:numPr>
    </w:pPr>
  </w:style>
  <w:style w:type="paragraph" w:customStyle="1" w:styleId="IEEEFigureCaptionSingle-Line">
    <w:name w:val="IEEE Figure Caption Single-Line"/>
    <w:basedOn w:val="IEEETableCaption"/>
    <w:next w:val="IEEEParagraph"/>
    <w:uiPriority w:val="99"/>
    <w:rsid w:val="00FA4909"/>
    <w:rPr>
      <w:smallCaps w:val="0"/>
    </w:rPr>
  </w:style>
  <w:style w:type="character" w:customStyle="1" w:styleId="IEEEHeading3Char">
    <w:name w:val="IEEE Heading 3 Char"/>
    <w:link w:val="IEEEHeading3"/>
    <w:rsid w:val="00321304"/>
    <w:rPr>
      <w:i/>
      <w:szCs w:val="24"/>
      <w:lang w:val="en-AU" w:eastAsia="zh-CN" w:bidi="ar-SA"/>
    </w:rPr>
  </w:style>
  <w:style w:type="paragraph" w:customStyle="1" w:styleId="IEEEFigure">
    <w:name w:val="IEEE Figure"/>
    <w:basedOn w:val="Normal"/>
    <w:next w:val="IEEEFigureCaptionSingle-Line"/>
    <w:uiPriority w:val="99"/>
    <w:rsid w:val="00D36B52"/>
    <w:pPr>
      <w:jc w:val="center"/>
    </w:pPr>
  </w:style>
  <w:style w:type="paragraph" w:customStyle="1" w:styleId="IEEEReferenceItem">
    <w:name w:val="IEEE Reference Item"/>
    <w:basedOn w:val="Normal"/>
    <w:rsid w:val="000C7AEE"/>
    <w:pPr>
      <w:numPr>
        <w:numId w:val="5"/>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uiPriority w:val="99"/>
    <w:rsid w:val="00D36B52"/>
    <w:pPr>
      <w:jc w:val="center"/>
    </w:pPr>
    <w:rPr>
      <w:b/>
      <w:bCs/>
    </w:rPr>
  </w:style>
  <w:style w:type="paragraph" w:customStyle="1" w:styleId="IEEETableHeaderLeft-Justified">
    <w:name w:val="IEEE Table Header Left-Justified"/>
    <w:basedOn w:val="IEEETableCell"/>
    <w:uiPriority w:val="99"/>
    <w:rsid w:val="00D36B52"/>
    <w:rPr>
      <w:b/>
      <w:bCs/>
    </w:rPr>
  </w:style>
  <w:style w:type="character" w:styleId="FollowedHyperlink">
    <w:name w:val="FollowedHyperlink"/>
    <w:rsid w:val="001B4E92"/>
    <w:rPr>
      <w:color w:val="800080"/>
      <w:u w:val="single"/>
    </w:rPr>
  </w:style>
  <w:style w:type="character" w:styleId="Hyperlink">
    <w:name w:val="Hyperlink"/>
    <w:uiPriority w:val="99"/>
    <w:rsid w:val="00EC4C53"/>
    <w:rPr>
      <w:color w:val="0000FF"/>
      <w:u w:val="single"/>
    </w:rPr>
  </w:style>
  <w:style w:type="paragraph" w:customStyle="1" w:styleId="Affiliation">
    <w:name w:val="Affiliation"/>
    <w:qFormat/>
    <w:rsid w:val="006779A1"/>
    <w:pPr>
      <w:jc w:val="center"/>
    </w:pPr>
    <w:rPr>
      <w:lang w:bidi="ar-SA"/>
    </w:rPr>
  </w:style>
  <w:style w:type="paragraph" w:customStyle="1" w:styleId="Author">
    <w:name w:val="Author"/>
    <w:rsid w:val="006779A1"/>
    <w:pPr>
      <w:spacing w:before="360" w:after="40"/>
      <w:jc w:val="center"/>
    </w:pPr>
    <w:rPr>
      <w:noProof/>
      <w:sz w:val="22"/>
      <w:szCs w:val="22"/>
      <w:lang w:bidi="ar-SA"/>
    </w:rPr>
  </w:style>
  <w:style w:type="paragraph" w:customStyle="1" w:styleId="footnote">
    <w:name w:val="footnote"/>
    <w:rsid w:val="006779A1"/>
    <w:pPr>
      <w:framePr w:hSpace="187" w:vSpace="187" w:wrap="notBeside" w:vAnchor="text" w:hAnchor="page" w:x="6121" w:y="577"/>
      <w:numPr>
        <w:numId w:val="6"/>
      </w:numPr>
      <w:spacing w:after="40"/>
    </w:pPr>
    <w:rPr>
      <w:sz w:val="16"/>
      <w:szCs w:val="16"/>
      <w:lang w:bidi="ar-SA"/>
    </w:rPr>
  </w:style>
  <w:style w:type="paragraph" w:customStyle="1" w:styleId="References">
    <w:name w:val="References"/>
    <w:basedOn w:val="Normal"/>
    <w:qFormat/>
    <w:rsid w:val="00385F35"/>
    <w:pPr>
      <w:numPr>
        <w:numId w:val="7"/>
      </w:numPr>
      <w:jc w:val="both"/>
    </w:pPr>
    <w:rPr>
      <w:rFonts w:eastAsia="Times New Roman"/>
      <w:sz w:val="16"/>
      <w:szCs w:val="16"/>
      <w:lang w:val="en-US" w:eastAsia="en-US"/>
    </w:rPr>
  </w:style>
  <w:style w:type="character" w:customStyle="1" w:styleId="apple-converted-space">
    <w:name w:val="apple-converted-space"/>
    <w:rsid w:val="00C32C4E"/>
  </w:style>
  <w:style w:type="character" w:styleId="Emphasis">
    <w:name w:val="Emphasis"/>
    <w:uiPriority w:val="20"/>
    <w:qFormat/>
    <w:rsid w:val="00C32C4E"/>
    <w:rPr>
      <w:i/>
      <w:iCs/>
    </w:rPr>
  </w:style>
  <w:style w:type="paragraph" w:customStyle="1" w:styleId="Text">
    <w:name w:val="Text"/>
    <w:basedOn w:val="Normal"/>
    <w:uiPriority w:val="99"/>
    <w:rsid w:val="000D474B"/>
    <w:pPr>
      <w:widowControl w:val="0"/>
      <w:autoSpaceDE w:val="0"/>
      <w:autoSpaceDN w:val="0"/>
      <w:spacing w:line="252" w:lineRule="auto"/>
      <w:ind w:firstLine="202"/>
      <w:jc w:val="both"/>
    </w:pPr>
    <w:rPr>
      <w:rFonts w:eastAsia="Times New Roman"/>
      <w:sz w:val="20"/>
      <w:szCs w:val="20"/>
      <w:lang w:val="en-US" w:eastAsia="en-US"/>
    </w:rPr>
  </w:style>
  <w:style w:type="paragraph" w:styleId="Header">
    <w:name w:val="header"/>
    <w:aliases w:val="page-number"/>
    <w:basedOn w:val="Normal"/>
    <w:link w:val="HeaderChar"/>
    <w:uiPriority w:val="99"/>
    <w:rsid w:val="008F7CBB"/>
    <w:pPr>
      <w:tabs>
        <w:tab w:val="center" w:pos="4680"/>
        <w:tab w:val="right" w:pos="9360"/>
      </w:tabs>
    </w:pPr>
  </w:style>
  <w:style w:type="character" w:customStyle="1" w:styleId="HeaderChar">
    <w:name w:val="Header Char"/>
    <w:aliases w:val="page-number Char"/>
    <w:link w:val="Header"/>
    <w:uiPriority w:val="99"/>
    <w:rsid w:val="008F7CBB"/>
    <w:rPr>
      <w:sz w:val="24"/>
      <w:szCs w:val="24"/>
      <w:lang w:val="en-AU" w:eastAsia="zh-CN" w:bidi="ar-SA"/>
    </w:rPr>
  </w:style>
  <w:style w:type="paragraph" w:styleId="Footer">
    <w:name w:val="footer"/>
    <w:basedOn w:val="Normal"/>
    <w:link w:val="FooterChar"/>
    <w:uiPriority w:val="99"/>
    <w:rsid w:val="008F7CBB"/>
    <w:pPr>
      <w:tabs>
        <w:tab w:val="center" w:pos="4680"/>
        <w:tab w:val="right" w:pos="9360"/>
      </w:tabs>
    </w:pPr>
  </w:style>
  <w:style w:type="character" w:customStyle="1" w:styleId="FooterChar">
    <w:name w:val="Footer Char"/>
    <w:link w:val="Footer"/>
    <w:uiPriority w:val="99"/>
    <w:rsid w:val="008F7CBB"/>
    <w:rPr>
      <w:sz w:val="24"/>
      <w:szCs w:val="24"/>
      <w:lang w:val="en-AU" w:eastAsia="zh-CN" w:bidi="ar-SA"/>
    </w:rPr>
  </w:style>
  <w:style w:type="paragraph" w:styleId="BalloonText">
    <w:name w:val="Balloon Text"/>
    <w:basedOn w:val="Normal"/>
    <w:link w:val="BalloonTextChar"/>
    <w:uiPriority w:val="99"/>
    <w:rsid w:val="008F7CBB"/>
    <w:rPr>
      <w:rFonts w:ascii="Tahoma" w:hAnsi="Tahoma" w:cs="Tahoma"/>
      <w:sz w:val="16"/>
      <w:szCs w:val="16"/>
    </w:rPr>
  </w:style>
  <w:style w:type="character" w:customStyle="1" w:styleId="BalloonTextChar">
    <w:name w:val="Balloon Text Char"/>
    <w:link w:val="BalloonText"/>
    <w:uiPriority w:val="99"/>
    <w:rsid w:val="008F7CBB"/>
    <w:rPr>
      <w:rFonts w:ascii="Tahoma" w:hAnsi="Tahoma" w:cs="Tahoma"/>
      <w:sz w:val="16"/>
      <w:szCs w:val="16"/>
      <w:lang w:val="en-AU" w:eastAsia="zh-CN" w:bidi="ar-SA"/>
    </w:rPr>
  </w:style>
  <w:style w:type="paragraph" w:styleId="ListParagraph">
    <w:name w:val="List Paragraph"/>
    <w:aliases w:val="Bullet List,FooterText,List Paragraph1,numbered,List Paragraph Char Char,List Paragraph11,Equipment,Colorful List - Accent 11,List 1 Paragraph,d_bodyb,List Paragraph111,lp1,Use Case List Paragraph,Paragraphe de liste1,列出段落,列出段落1,Annexure"/>
    <w:basedOn w:val="Normal"/>
    <w:link w:val="ListParagraphChar"/>
    <w:uiPriority w:val="1"/>
    <w:qFormat/>
    <w:rsid w:val="00734204"/>
    <w:pPr>
      <w:spacing w:after="200" w:line="276" w:lineRule="auto"/>
      <w:ind w:left="720"/>
      <w:contextualSpacing/>
    </w:pPr>
    <w:rPr>
      <w:rFonts w:ascii="Calibri" w:eastAsia="Times New Roman" w:hAnsi="Calibri"/>
      <w:sz w:val="22"/>
      <w:szCs w:val="22"/>
      <w:lang w:val="en-US" w:eastAsia="en-US"/>
    </w:rPr>
  </w:style>
  <w:style w:type="paragraph" w:styleId="NormalWeb">
    <w:name w:val="Normal (Web)"/>
    <w:basedOn w:val="Normal"/>
    <w:link w:val="NormalWebChar"/>
    <w:unhideWhenUsed/>
    <w:qFormat/>
    <w:rsid w:val="00734204"/>
    <w:pPr>
      <w:spacing w:before="100" w:beforeAutospacing="1" w:after="100" w:afterAutospacing="1"/>
    </w:pPr>
    <w:rPr>
      <w:rFonts w:eastAsia="Times New Roman"/>
      <w:lang w:val="en-US" w:eastAsia="en-US"/>
    </w:rPr>
  </w:style>
  <w:style w:type="paragraph" w:customStyle="1" w:styleId="PreformattedText">
    <w:name w:val="Preformatted Text"/>
    <w:basedOn w:val="Normal"/>
    <w:uiPriority w:val="99"/>
    <w:rsid w:val="00C61A70"/>
    <w:pPr>
      <w:widowControl w:val="0"/>
      <w:suppressAutoHyphens/>
    </w:pPr>
    <w:rPr>
      <w:rFonts w:ascii="Nimbus Mono L" w:eastAsia="Nimbus Mono L" w:hAnsi="Nimbus Mono L" w:cs="Nimbus Mono L"/>
      <w:sz w:val="20"/>
      <w:szCs w:val="20"/>
      <w:lang w:val="en-US" w:eastAsia="ar-SA"/>
    </w:rPr>
  </w:style>
  <w:style w:type="character" w:customStyle="1" w:styleId="Heading4Char">
    <w:name w:val="Heading 4 Char"/>
    <w:basedOn w:val="DefaultParagraphFont"/>
    <w:link w:val="Heading4"/>
    <w:uiPriority w:val="9"/>
    <w:rsid w:val="00C30BA3"/>
    <w:rPr>
      <w:rFonts w:eastAsia="Times New Roman"/>
      <w:i/>
      <w:iCs/>
      <w:sz w:val="18"/>
      <w:szCs w:val="18"/>
      <w:lang w:bidi="ar-SA"/>
    </w:rPr>
  </w:style>
  <w:style w:type="character" w:customStyle="1" w:styleId="Heading5Char">
    <w:name w:val="Heading 5 Char"/>
    <w:basedOn w:val="DefaultParagraphFont"/>
    <w:link w:val="Heading5"/>
    <w:rsid w:val="00C30BA3"/>
    <w:rPr>
      <w:rFonts w:eastAsia="Times New Roman"/>
      <w:sz w:val="18"/>
      <w:szCs w:val="18"/>
      <w:lang w:bidi="ar-SA"/>
    </w:rPr>
  </w:style>
  <w:style w:type="character" w:customStyle="1" w:styleId="Heading6Char">
    <w:name w:val="Heading 6 Char"/>
    <w:basedOn w:val="DefaultParagraphFont"/>
    <w:link w:val="Heading6"/>
    <w:rsid w:val="00C30BA3"/>
    <w:rPr>
      <w:rFonts w:eastAsia="Times New Roman"/>
      <w:i/>
      <w:iCs/>
      <w:sz w:val="16"/>
      <w:szCs w:val="16"/>
      <w:lang w:bidi="ar-SA"/>
    </w:rPr>
  </w:style>
  <w:style w:type="character" w:customStyle="1" w:styleId="Heading7Char">
    <w:name w:val="Heading 7 Char"/>
    <w:basedOn w:val="DefaultParagraphFont"/>
    <w:link w:val="Heading7"/>
    <w:uiPriority w:val="99"/>
    <w:rsid w:val="00C30BA3"/>
    <w:rPr>
      <w:rFonts w:eastAsia="Times New Roman"/>
      <w:sz w:val="16"/>
      <w:szCs w:val="16"/>
      <w:lang w:bidi="ar-SA"/>
    </w:rPr>
  </w:style>
  <w:style w:type="character" w:customStyle="1" w:styleId="Heading8Char">
    <w:name w:val="Heading 8 Char"/>
    <w:basedOn w:val="DefaultParagraphFont"/>
    <w:link w:val="Heading8"/>
    <w:uiPriority w:val="99"/>
    <w:rsid w:val="00C30BA3"/>
    <w:rPr>
      <w:rFonts w:eastAsia="Times New Roman"/>
      <w:i/>
      <w:iCs/>
      <w:sz w:val="16"/>
      <w:szCs w:val="16"/>
      <w:lang w:bidi="ar-SA"/>
    </w:rPr>
  </w:style>
  <w:style w:type="character" w:customStyle="1" w:styleId="Heading9Char">
    <w:name w:val="Heading 9 Char"/>
    <w:basedOn w:val="DefaultParagraphFont"/>
    <w:link w:val="Heading9"/>
    <w:uiPriority w:val="99"/>
    <w:rsid w:val="00C30BA3"/>
    <w:rPr>
      <w:rFonts w:eastAsia="Times New Roman"/>
      <w:sz w:val="16"/>
      <w:szCs w:val="16"/>
      <w:lang w:bidi="ar-SA"/>
    </w:rPr>
  </w:style>
  <w:style w:type="paragraph" w:styleId="BodyText2">
    <w:name w:val="Body Text 2"/>
    <w:basedOn w:val="Normal"/>
    <w:link w:val="BodyText2Char"/>
    <w:uiPriority w:val="99"/>
    <w:unhideWhenUsed/>
    <w:rsid w:val="00667736"/>
    <w:pPr>
      <w:autoSpaceDE w:val="0"/>
      <w:autoSpaceDN w:val="0"/>
      <w:spacing w:after="120" w:line="480" w:lineRule="auto"/>
    </w:pPr>
    <w:rPr>
      <w:rFonts w:eastAsia="Times New Roman"/>
      <w:sz w:val="20"/>
      <w:szCs w:val="20"/>
      <w:lang w:val="en-US" w:eastAsia="en-US"/>
    </w:rPr>
  </w:style>
  <w:style w:type="character" w:customStyle="1" w:styleId="BodyText2Char">
    <w:name w:val="Body Text 2 Char"/>
    <w:basedOn w:val="DefaultParagraphFont"/>
    <w:link w:val="BodyText2"/>
    <w:uiPriority w:val="99"/>
    <w:rsid w:val="00667736"/>
    <w:rPr>
      <w:rFonts w:eastAsia="Times New Roman"/>
      <w:lang w:bidi="ar-SA"/>
    </w:rPr>
  </w:style>
  <w:style w:type="character" w:customStyle="1" w:styleId="apple-style-span">
    <w:name w:val="apple-style-span"/>
    <w:rsid w:val="00ED67EE"/>
  </w:style>
  <w:style w:type="paragraph" w:styleId="Bibliography">
    <w:name w:val="Bibliography"/>
    <w:basedOn w:val="Normal"/>
    <w:next w:val="Normal"/>
    <w:uiPriority w:val="37"/>
    <w:unhideWhenUsed/>
    <w:rsid w:val="00ED67EE"/>
    <w:pPr>
      <w:autoSpaceDE w:val="0"/>
      <w:autoSpaceDN w:val="0"/>
    </w:pPr>
    <w:rPr>
      <w:rFonts w:eastAsia="Times New Roman"/>
      <w:sz w:val="20"/>
      <w:szCs w:val="20"/>
      <w:lang w:val="en-US" w:eastAsia="en-US"/>
    </w:rPr>
  </w:style>
  <w:style w:type="paragraph" w:styleId="Revision">
    <w:name w:val="Revision"/>
    <w:hidden/>
    <w:uiPriority w:val="99"/>
    <w:semiHidden/>
    <w:rsid w:val="00ED67EE"/>
    <w:rPr>
      <w:rFonts w:eastAsia="Times New Roman"/>
      <w:lang w:bidi="ar-SA"/>
    </w:rPr>
  </w:style>
  <w:style w:type="paragraph" w:styleId="BodyText3">
    <w:name w:val="Body Text 3"/>
    <w:basedOn w:val="Normal"/>
    <w:link w:val="BodyText3Char"/>
    <w:uiPriority w:val="99"/>
    <w:rsid w:val="008138FA"/>
    <w:pPr>
      <w:spacing w:after="120"/>
    </w:pPr>
    <w:rPr>
      <w:sz w:val="16"/>
      <w:szCs w:val="16"/>
    </w:rPr>
  </w:style>
  <w:style w:type="character" w:customStyle="1" w:styleId="BodyText3Char">
    <w:name w:val="Body Text 3 Char"/>
    <w:basedOn w:val="DefaultParagraphFont"/>
    <w:link w:val="BodyText3"/>
    <w:uiPriority w:val="99"/>
    <w:rsid w:val="008138FA"/>
    <w:rPr>
      <w:sz w:val="16"/>
      <w:szCs w:val="16"/>
      <w:lang w:val="en-AU" w:eastAsia="zh-CN" w:bidi="ar-SA"/>
    </w:rPr>
  </w:style>
  <w:style w:type="character" w:styleId="BookTitle">
    <w:name w:val="Book Title"/>
    <w:basedOn w:val="DefaultParagraphFont"/>
    <w:uiPriority w:val="33"/>
    <w:qFormat/>
    <w:rsid w:val="005D5E60"/>
    <w:rPr>
      <w:b/>
      <w:bCs/>
      <w:smallCaps/>
      <w:spacing w:val="5"/>
    </w:rPr>
  </w:style>
  <w:style w:type="paragraph" w:customStyle="1" w:styleId="Abstract">
    <w:name w:val="Abstract"/>
    <w:basedOn w:val="Normal"/>
    <w:next w:val="Normal"/>
    <w:qFormat/>
    <w:rsid w:val="00FD59B2"/>
    <w:pPr>
      <w:autoSpaceDE w:val="0"/>
      <w:autoSpaceDN w:val="0"/>
      <w:spacing w:before="20"/>
      <w:ind w:firstLine="202"/>
      <w:jc w:val="both"/>
    </w:pPr>
    <w:rPr>
      <w:rFonts w:eastAsia="Times New Roman"/>
      <w:b/>
      <w:bCs/>
      <w:sz w:val="18"/>
      <w:szCs w:val="18"/>
      <w:lang w:val="en-US" w:eastAsia="en-US"/>
    </w:rPr>
  </w:style>
  <w:style w:type="paragraph" w:styleId="BodyText">
    <w:name w:val="Body Text"/>
    <w:basedOn w:val="Normal"/>
    <w:link w:val="BodyTextChar"/>
    <w:uiPriority w:val="1"/>
    <w:unhideWhenUsed/>
    <w:qFormat/>
    <w:rsid w:val="008A66C8"/>
    <w:pPr>
      <w:spacing w:after="120" w:line="276" w:lineRule="auto"/>
    </w:pPr>
    <w:rPr>
      <w:rFonts w:asciiTheme="minorHAnsi" w:eastAsiaTheme="minorEastAsia" w:hAnsiTheme="minorHAnsi" w:cstheme="minorBidi"/>
      <w:sz w:val="22"/>
      <w:szCs w:val="22"/>
      <w:lang w:val="en-US" w:eastAsia="en-US"/>
    </w:rPr>
  </w:style>
  <w:style w:type="character" w:customStyle="1" w:styleId="BodyTextChar">
    <w:name w:val="Body Text Char"/>
    <w:basedOn w:val="DefaultParagraphFont"/>
    <w:link w:val="BodyText"/>
    <w:uiPriority w:val="1"/>
    <w:rsid w:val="008A66C8"/>
    <w:rPr>
      <w:rFonts w:asciiTheme="minorHAnsi" w:eastAsiaTheme="minorEastAsia" w:hAnsiTheme="minorHAnsi" w:cstheme="minorBidi"/>
      <w:sz w:val="22"/>
      <w:szCs w:val="22"/>
      <w:lang w:bidi="ar-SA"/>
    </w:rPr>
  </w:style>
  <w:style w:type="paragraph" w:customStyle="1" w:styleId="textpages">
    <w:name w:val="textpages"/>
    <w:basedOn w:val="Normal"/>
    <w:uiPriority w:val="99"/>
    <w:rsid w:val="0034286F"/>
    <w:pPr>
      <w:spacing w:before="100" w:beforeAutospacing="1" w:after="100" w:afterAutospacing="1"/>
    </w:pPr>
    <w:rPr>
      <w:rFonts w:eastAsia="Times New Roman"/>
      <w:lang w:val="en-US" w:eastAsia="en-US" w:bidi="gu-IN"/>
    </w:rPr>
  </w:style>
  <w:style w:type="paragraph" w:customStyle="1" w:styleId="Default">
    <w:name w:val="Default"/>
    <w:rsid w:val="000A75EF"/>
    <w:pPr>
      <w:autoSpaceDE w:val="0"/>
      <w:autoSpaceDN w:val="0"/>
      <w:adjustRightInd w:val="0"/>
    </w:pPr>
    <w:rPr>
      <w:color w:val="000000"/>
      <w:sz w:val="24"/>
      <w:szCs w:val="24"/>
      <w:lang w:bidi="ar-SA"/>
    </w:rPr>
  </w:style>
  <w:style w:type="paragraph" w:styleId="NoSpacing">
    <w:name w:val="No Spacing"/>
    <w:link w:val="NoSpacingChar"/>
    <w:uiPriority w:val="1"/>
    <w:qFormat/>
    <w:rsid w:val="00273C50"/>
    <w:rPr>
      <w:rFonts w:asciiTheme="minorHAnsi" w:eastAsiaTheme="minorHAnsi" w:hAnsiTheme="minorHAnsi" w:cstheme="minorBidi"/>
      <w:sz w:val="22"/>
      <w:szCs w:val="22"/>
      <w:lang w:val="ms-MY" w:bidi="ar-SA"/>
    </w:rPr>
  </w:style>
  <w:style w:type="character" w:customStyle="1" w:styleId="hps">
    <w:name w:val="hps"/>
    <w:basedOn w:val="DefaultParagraphFont"/>
    <w:rsid w:val="007C287D"/>
  </w:style>
  <w:style w:type="character" w:customStyle="1" w:styleId="highlightedsearchterm">
    <w:name w:val="highlightedsearchterm"/>
    <w:basedOn w:val="DefaultParagraphFont"/>
    <w:rsid w:val="00F41E87"/>
  </w:style>
  <w:style w:type="paragraph" w:styleId="HTMLPreformatted">
    <w:name w:val="HTML Preformatted"/>
    <w:basedOn w:val="Normal"/>
    <w:link w:val="HTMLPreformattedChar"/>
    <w:unhideWhenUsed/>
    <w:rsid w:val="00A916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rsid w:val="00A91618"/>
    <w:rPr>
      <w:rFonts w:ascii="Courier New" w:eastAsia="Times New Roman" w:hAnsi="Courier New" w:cs="Courier New"/>
      <w:lang w:bidi="ar-SA"/>
    </w:rPr>
  </w:style>
  <w:style w:type="paragraph" w:customStyle="1" w:styleId="references0">
    <w:name w:val="references"/>
    <w:uiPriority w:val="99"/>
    <w:rsid w:val="00693455"/>
    <w:pPr>
      <w:numPr>
        <w:numId w:val="8"/>
      </w:numPr>
      <w:spacing w:after="50" w:line="180" w:lineRule="exact"/>
      <w:jc w:val="both"/>
    </w:pPr>
    <w:rPr>
      <w:rFonts w:eastAsia="Times New Roman"/>
      <w:noProof/>
      <w:sz w:val="16"/>
      <w:szCs w:val="16"/>
      <w:lang w:bidi="ar-SA"/>
    </w:rPr>
  </w:style>
  <w:style w:type="paragraph" w:customStyle="1" w:styleId="papertitle">
    <w:name w:val="paper title"/>
    <w:rsid w:val="00D74066"/>
    <w:pPr>
      <w:spacing w:after="120"/>
      <w:jc w:val="center"/>
    </w:pPr>
    <w:rPr>
      <w:rFonts w:eastAsia="Times New Roman"/>
      <w:bCs/>
      <w:noProof/>
      <w:sz w:val="48"/>
      <w:szCs w:val="48"/>
      <w:lang w:bidi="ar-SA"/>
    </w:rPr>
  </w:style>
  <w:style w:type="paragraph" w:customStyle="1" w:styleId="Articletitle">
    <w:name w:val="Article title"/>
    <w:basedOn w:val="Normal"/>
    <w:next w:val="Normal"/>
    <w:qFormat/>
    <w:rsid w:val="001B0C23"/>
    <w:pPr>
      <w:spacing w:after="120" w:line="360" w:lineRule="auto"/>
    </w:pPr>
    <w:rPr>
      <w:rFonts w:eastAsia="Times New Roman"/>
      <w:b/>
      <w:sz w:val="28"/>
      <w:lang w:val="en-GB" w:eastAsia="en-GB"/>
    </w:rPr>
  </w:style>
  <w:style w:type="paragraph" w:customStyle="1" w:styleId="Authornames">
    <w:name w:val="Author names"/>
    <w:basedOn w:val="Normal"/>
    <w:next w:val="Normal"/>
    <w:qFormat/>
    <w:rsid w:val="001B0C23"/>
    <w:pPr>
      <w:spacing w:before="240" w:line="360" w:lineRule="auto"/>
    </w:pPr>
    <w:rPr>
      <w:rFonts w:eastAsia="Times New Roman"/>
      <w:sz w:val="28"/>
      <w:lang w:val="en-GB" w:eastAsia="en-GB"/>
    </w:rPr>
  </w:style>
  <w:style w:type="character" w:styleId="PlaceholderText">
    <w:name w:val="Placeholder Text"/>
    <w:basedOn w:val="DefaultParagraphFont"/>
    <w:uiPriority w:val="99"/>
    <w:semiHidden/>
    <w:rsid w:val="001B0C23"/>
    <w:rPr>
      <w:color w:val="808080"/>
    </w:rPr>
  </w:style>
  <w:style w:type="character" w:customStyle="1" w:styleId="Heading1Char">
    <w:name w:val="Heading 1 Char"/>
    <w:basedOn w:val="DefaultParagraphFont"/>
    <w:link w:val="Heading1"/>
    <w:uiPriority w:val="9"/>
    <w:rsid w:val="001B0C23"/>
    <w:rPr>
      <w:rFonts w:ascii="Arial" w:hAnsi="Arial" w:cs="Arial"/>
      <w:b/>
      <w:bCs/>
      <w:kern w:val="32"/>
      <w:sz w:val="32"/>
      <w:szCs w:val="32"/>
      <w:lang w:val="en-AU" w:eastAsia="zh-CN" w:bidi="ar-SA"/>
    </w:rPr>
  </w:style>
  <w:style w:type="character" w:customStyle="1" w:styleId="Quotation">
    <w:name w:val="Quotation"/>
    <w:rsid w:val="00556599"/>
    <w:rPr>
      <w:i/>
      <w:iCs/>
    </w:rPr>
  </w:style>
  <w:style w:type="character" w:customStyle="1" w:styleId="fontstyle01">
    <w:name w:val="fontstyle01"/>
    <w:basedOn w:val="DefaultParagraphFont"/>
    <w:rsid w:val="000710F9"/>
    <w:rPr>
      <w:rFonts w:ascii="TimesNewRoman" w:hAnsi="TimesNewRoman" w:hint="default"/>
      <w:b w:val="0"/>
      <w:bCs w:val="0"/>
      <w:i w:val="0"/>
      <w:iCs w:val="0"/>
      <w:color w:val="231F20"/>
      <w:sz w:val="22"/>
      <w:szCs w:val="22"/>
    </w:rPr>
  </w:style>
  <w:style w:type="character" w:customStyle="1" w:styleId="Heading2Char">
    <w:name w:val="Heading 2 Char"/>
    <w:link w:val="Heading2"/>
    <w:rsid w:val="00E305A3"/>
    <w:rPr>
      <w:rFonts w:ascii="Arial" w:hAnsi="Arial" w:cs="Arial"/>
      <w:b/>
      <w:bCs/>
      <w:i/>
      <w:iCs/>
      <w:sz w:val="28"/>
      <w:szCs w:val="28"/>
      <w:lang w:val="en-AU" w:eastAsia="zh-CN" w:bidi="ar-SA"/>
    </w:rPr>
  </w:style>
  <w:style w:type="character" w:customStyle="1" w:styleId="Heading3Char">
    <w:name w:val="Heading 3 Char"/>
    <w:link w:val="Heading3"/>
    <w:rsid w:val="00E305A3"/>
    <w:rPr>
      <w:rFonts w:ascii="Arial" w:hAnsi="Arial" w:cs="Arial"/>
      <w:b/>
      <w:bCs/>
      <w:sz w:val="26"/>
      <w:szCs w:val="26"/>
      <w:lang w:val="en-AU" w:eastAsia="zh-CN" w:bidi="ar-SA"/>
    </w:rPr>
  </w:style>
  <w:style w:type="paragraph" w:styleId="Subtitle">
    <w:name w:val="Subtitle"/>
    <w:basedOn w:val="Normal"/>
    <w:next w:val="Normal"/>
    <w:link w:val="SubtitleChar"/>
    <w:uiPriority w:val="11"/>
    <w:qFormat/>
    <w:rsid w:val="00E305A3"/>
    <w:pPr>
      <w:spacing w:after="200" w:line="276" w:lineRule="auto"/>
    </w:pPr>
    <w:rPr>
      <w:rFonts w:ascii="Cambria" w:eastAsia="Times New Roman" w:hAnsi="Cambria"/>
      <w:i/>
      <w:iCs/>
      <w:color w:val="4F81BD"/>
      <w:spacing w:val="15"/>
    </w:rPr>
  </w:style>
  <w:style w:type="character" w:customStyle="1" w:styleId="SubtitleChar">
    <w:name w:val="Subtitle Char"/>
    <w:basedOn w:val="DefaultParagraphFont"/>
    <w:link w:val="Subtitle"/>
    <w:uiPriority w:val="11"/>
    <w:rsid w:val="00E305A3"/>
    <w:rPr>
      <w:rFonts w:ascii="Cambria" w:eastAsia="Times New Roman" w:hAnsi="Cambria"/>
      <w:i/>
      <w:iCs/>
      <w:color w:val="4F81BD"/>
      <w:spacing w:val="15"/>
      <w:sz w:val="24"/>
      <w:szCs w:val="24"/>
      <w:lang w:bidi="ar-SA"/>
    </w:rPr>
  </w:style>
  <w:style w:type="paragraph" w:customStyle="1" w:styleId="a">
    <w:name w:val=".."/>
    <w:basedOn w:val="Normal"/>
    <w:next w:val="Normal"/>
    <w:uiPriority w:val="99"/>
    <w:rsid w:val="00E305A3"/>
    <w:pPr>
      <w:widowControl w:val="0"/>
      <w:autoSpaceDE w:val="0"/>
      <w:autoSpaceDN w:val="0"/>
      <w:adjustRightInd w:val="0"/>
    </w:pPr>
    <w:rPr>
      <w:rFonts w:eastAsia="Times New Roman"/>
      <w:lang w:val="en-US" w:eastAsia="en-US"/>
    </w:rPr>
  </w:style>
  <w:style w:type="paragraph" w:customStyle="1" w:styleId="msonormalcxspmiddle">
    <w:name w:val="msonormalcxspmiddle"/>
    <w:basedOn w:val="Normal"/>
    <w:uiPriority w:val="99"/>
    <w:rsid w:val="00E305A3"/>
    <w:pPr>
      <w:spacing w:before="100" w:beforeAutospacing="1" w:after="100" w:afterAutospacing="1"/>
    </w:pPr>
    <w:rPr>
      <w:rFonts w:eastAsia="Times New Roman"/>
      <w:lang w:val="en-US" w:eastAsia="en-US"/>
    </w:rPr>
  </w:style>
  <w:style w:type="paragraph" w:customStyle="1" w:styleId="FigureCaption">
    <w:name w:val="Figure Caption"/>
    <w:basedOn w:val="Normal"/>
    <w:uiPriority w:val="99"/>
    <w:rsid w:val="00E305A3"/>
    <w:pPr>
      <w:autoSpaceDE w:val="0"/>
      <w:autoSpaceDN w:val="0"/>
      <w:jc w:val="both"/>
    </w:pPr>
    <w:rPr>
      <w:rFonts w:eastAsia="Times New Roman"/>
      <w:sz w:val="16"/>
      <w:szCs w:val="16"/>
      <w:lang w:val="en-US" w:eastAsia="en-US"/>
    </w:rPr>
  </w:style>
  <w:style w:type="character" w:customStyle="1" w:styleId="StyleIJARCSAbstractItalicChar">
    <w:name w:val="Style IJARCS Abstract + Italic Char"/>
    <w:link w:val="StyleIJARCSAbstractItalic"/>
    <w:locked/>
    <w:rsid w:val="00E305A3"/>
    <w:rPr>
      <w:b/>
      <w:bCs/>
      <w:i/>
      <w:iCs/>
      <w:color w:val="333333"/>
      <w:sz w:val="18"/>
      <w:szCs w:val="24"/>
      <w:lang w:val="en-GB" w:eastAsia="en-GB" w:bidi="ar-SA"/>
    </w:rPr>
  </w:style>
  <w:style w:type="paragraph" w:customStyle="1" w:styleId="StyleIJARCSAbstractItalic">
    <w:name w:val="Style IJARCS Abstract + Italic"/>
    <w:basedOn w:val="Normal"/>
    <w:link w:val="StyleIJARCSAbstractItalicChar"/>
    <w:autoRedefine/>
    <w:rsid w:val="00E305A3"/>
    <w:pPr>
      <w:pBdr>
        <w:top w:val="single" w:sz="4" w:space="1" w:color="333333"/>
        <w:bottom w:val="single" w:sz="4" w:space="1" w:color="333333"/>
      </w:pBdr>
      <w:adjustRightInd w:val="0"/>
      <w:snapToGrid w:val="0"/>
      <w:jc w:val="both"/>
    </w:pPr>
    <w:rPr>
      <w:b/>
      <w:bCs/>
      <w:i/>
      <w:iCs/>
      <w:color w:val="333333"/>
      <w:sz w:val="18"/>
      <w:lang w:val="en-GB" w:eastAsia="en-GB"/>
    </w:rPr>
  </w:style>
  <w:style w:type="character" w:styleId="IntenseEmphasis">
    <w:name w:val="Intense Emphasis"/>
    <w:uiPriority w:val="21"/>
    <w:qFormat/>
    <w:rsid w:val="00E305A3"/>
    <w:rPr>
      <w:b/>
      <w:bCs/>
      <w:i/>
      <w:iCs/>
      <w:color w:val="4F81BD"/>
    </w:rPr>
  </w:style>
  <w:style w:type="paragraph" w:customStyle="1" w:styleId="NormalTextCentre">
    <w:name w:val="NormalTextCentre"/>
    <w:basedOn w:val="Normal"/>
    <w:link w:val="NormalTextCentreChar"/>
    <w:rsid w:val="00E305A3"/>
    <w:pPr>
      <w:jc w:val="center"/>
    </w:pPr>
    <w:rPr>
      <w:rFonts w:ascii="Arial" w:eastAsia="Times New Roman" w:hAnsi="Arial"/>
      <w:sz w:val="16"/>
      <w:szCs w:val="20"/>
      <w:lang w:val="en-GB"/>
    </w:rPr>
  </w:style>
  <w:style w:type="character" w:customStyle="1" w:styleId="NormalTextCentreChar">
    <w:name w:val="NormalTextCentre Char"/>
    <w:link w:val="NormalTextCentre"/>
    <w:rsid w:val="00E305A3"/>
    <w:rPr>
      <w:rFonts w:ascii="Arial" w:eastAsia="Times New Roman" w:hAnsi="Arial"/>
      <w:sz w:val="16"/>
      <w:lang w:val="en-GB" w:bidi="ar-SA"/>
    </w:rPr>
  </w:style>
  <w:style w:type="paragraph" w:customStyle="1" w:styleId="BoldTextCentre">
    <w:name w:val="BoldTextCentre"/>
    <w:basedOn w:val="Normal"/>
    <w:link w:val="BoldTextCentreChar"/>
    <w:rsid w:val="00E305A3"/>
    <w:pPr>
      <w:jc w:val="center"/>
    </w:pPr>
    <w:rPr>
      <w:rFonts w:ascii="Arial" w:eastAsia="Times New Roman" w:hAnsi="Arial"/>
      <w:b/>
      <w:sz w:val="16"/>
      <w:szCs w:val="20"/>
      <w:lang w:val="en-GB"/>
    </w:rPr>
  </w:style>
  <w:style w:type="character" w:customStyle="1" w:styleId="BoldTextCentreChar">
    <w:name w:val="BoldTextCentre Char"/>
    <w:link w:val="BoldTextCentre"/>
    <w:rsid w:val="00E305A3"/>
    <w:rPr>
      <w:rFonts w:ascii="Arial" w:eastAsia="Times New Roman" w:hAnsi="Arial"/>
      <w:b/>
      <w:sz w:val="16"/>
      <w:lang w:val="en-GB" w:bidi="ar-SA"/>
    </w:rPr>
  </w:style>
  <w:style w:type="paragraph" w:customStyle="1" w:styleId="wsTableHeading">
    <w:name w:val="wsTableHeading"/>
    <w:basedOn w:val="Normal"/>
    <w:link w:val="wsTableHeadingChar"/>
    <w:rsid w:val="00E305A3"/>
    <w:rPr>
      <w:rFonts w:ascii="Arial" w:eastAsia="Times New Roman" w:hAnsi="Arial"/>
      <w:b/>
      <w:sz w:val="28"/>
      <w:szCs w:val="20"/>
      <w:u w:val="single"/>
      <w:lang w:val="en-GB"/>
    </w:rPr>
  </w:style>
  <w:style w:type="character" w:customStyle="1" w:styleId="wsTableHeadingChar">
    <w:name w:val="wsTableHeading Char"/>
    <w:link w:val="wsTableHeading"/>
    <w:rsid w:val="00E305A3"/>
    <w:rPr>
      <w:rFonts w:ascii="Arial" w:eastAsia="Times New Roman" w:hAnsi="Arial"/>
      <w:b/>
      <w:sz w:val="28"/>
      <w:u w:val="single"/>
      <w:lang w:val="en-GB" w:bidi="ar-SA"/>
    </w:rPr>
  </w:style>
  <w:style w:type="character" w:customStyle="1" w:styleId="NoSpacingChar">
    <w:name w:val="No Spacing Char"/>
    <w:link w:val="NoSpacing"/>
    <w:uiPriority w:val="1"/>
    <w:locked/>
    <w:rsid w:val="00754CFB"/>
    <w:rPr>
      <w:rFonts w:asciiTheme="minorHAnsi" w:eastAsiaTheme="minorHAnsi" w:hAnsiTheme="minorHAnsi" w:cstheme="minorBidi"/>
      <w:sz w:val="22"/>
      <w:szCs w:val="22"/>
      <w:lang w:val="ms-MY" w:bidi="ar-SA"/>
    </w:rPr>
  </w:style>
  <w:style w:type="character" w:customStyle="1" w:styleId="A3">
    <w:name w:val="A3"/>
    <w:uiPriority w:val="99"/>
    <w:rsid w:val="00754CFB"/>
    <w:rPr>
      <w:rFonts w:ascii="Times New Roman" w:hAnsi="Times New Roman" w:cs="Times New Roman" w:hint="default"/>
      <w:color w:val="000000"/>
      <w:sz w:val="22"/>
      <w:szCs w:val="22"/>
    </w:rPr>
  </w:style>
  <w:style w:type="character" w:customStyle="1" w:styleId="A4">
    <w:name w:val="A4"/>
    <w:uiPriority w:val="99"/>
    <w:rsid w:val="00754CFB"/>
    <w:rPr>
      <w:rFonts w:ascii="Times New Roman" w:hAnsi="Times New Roman" w:cs="Times New Roman" w:hint="default"/>
      <w:color w:val="000000"/>
      <w:sz w:val="12"/>
      <w:szCs w:val="12"/>
    </w:rPr>
  </w:style>
  <w:style w:type="character" w:styleId="Strong">
    <w:name w:val="Strong"/>
    <w:basedOn w:val="DefaultParagraphFont"/>
    <w:uiPriority w:val="22"/>
    <w:qFormat/>
    <w:rsid w:val="00754CFB"/>
    <w:rPr>
      <w:b/>
      <w:bCs/>
    </w:rPr>
  </w:style>
  <w:style w:type="character" w:customStyle="1" w:styleId="yhemcb">
    <w:name w:val="yhemcb"/>
    <w:rsid w:val="007E2516"/>
  </w:style>
  <w:style w:type="character" w:customStyle="1" w:styleId="ListParagraphChar">
    <w:name w:val="List Paragraph Char"/>
    <w:aliases w:val="Bullet List Char,FooterText Char,List Paragraph1 Char,numbered Char,List Paragraph Char Char Char,List Paragraph11 Char,Equipment Char,Colorful List - Accent 11 Char,List 1 Paragraph Char,d_bodyb Char,List Paragraph111 Char,lp1 Char"/>
    <w:link w:val="ListParagraph"/>
    <w:uiPriority w:val="99"/>
    <w:locked/>
    <w:rsid w:val="00D93D7C"/>
    <w:rPr>
      <w:rFonts w:ascii="Calibri" w:eastAsia="Times New Roman" w:hAnsi="Calibri"/>
      <w:sz w:val="22"/>
      <w:szCs w:val="22"/>
      <w:lang w:bidi="ar-SA"/>
    </w:rPr>
  </w:style>
  <w:style w:type="character" w:customStyle="1" w:styleId="Date1">
    <w:name w:val="Date1"/>
    <w:basedOn w:val="DefaultParagraphFont"/>
    <w:rsid w:val="00D93D7C"/>
  </w:style>
  <w:style w:type="character" w:customStyle="1" w:styleId="tlid-translation">
    <w:name w:val="tlid-translation"/>
    <w:basedOn w:val="DefaultParagraphFont"/>
    <w:rsid w:val="00EE5982"/>
  </w:style>
  <w:style w:type="character" w:customStyle="1" w:styleId="UnresolvedMention1">
    <w:name w:val="Unresolved Mention1"/>
    <w:basedOn w:val="DefaultParagraphFont"/>
    <w:uiPriority w:val="99"/>
    <w:semiHidden/>
    <w:unhideWhenUsed/>
    <w:rsid w:val="00E50971"/>
    <w:rPr>
      <w:color w:val="605E5C"/>
      <w:shd w:val="clear" w:color="auto" w:fill="E1DFDD"/>
    </w:rPr>
  </w:style>
  <w:style w:type="paragraph" w:styleId="Title">
    <w:name w:val="Title"/>
    <w:basedOn w:val="Normal"/>
    <w:link w:val="TitleChar"/>
    <w:uiPriority w:val="10"/>
    <w:qFormat/>
    <w:rsid w:val="008B2E7D"/>
    <w:pPr>
      <w:spacing w:after="240" w:line="480" w:lineRule="auto"/>
      <w:jc w:val="center"/>
    </w:pPr>
    <w:rPr>
      <w:rFonts w:ascii="Bookman Old Style" w:eastAsia="Times New Roman" w:hAnsi="Bookman Old Style"/>
      <w:b/>
      <w:sz w:val="26"/>
      <w:szCs w:val="20"/>
      <w:lang w:val="en-US" w:eastAsia="en-US"/>
    </w:rPr>
  </w:style>
  <w:style w:type="character" w:customStyle="1" w:styleId="TitleChar">
    <w:name w:val="Title Char"/>
    <w:basedOn w:val="DefaultParagraphFont"/>
    <w:link w:val="Title"/>
    <w:uiPriority w:val="10"/>
    <w:rsid w:val="008B2E7D"/>
    <w:rPr>
      <w:rFonts w:ascii="Bookman Old Style" w:eastAsia="Times New Roman" w:hAnsi="Bookman Old Style"/>
      <w:b/>
      <w:sz w:val="26"/>
      <w:lang w:bidi="ar-SA"/>
    </w:rPr>
  </w:style>
  <w:style w:type="table" w:customStyle="1" w:styleId="TableGrid1">
    <w:name w:val="Table Grid1"/>
    <w:basedOn w:val="TableNormal"/>
    <w:uiPriority w:val="59"/>
    <w:unhideWhenUsed/>
    <w:rsid w:val="00BB293C"/>
    <w:rPr>
      <w:rFonts w:asciiTheme="minorHAnsi" w:eastAsiaTheme="minorHAnsi" w:hAnsiTheme="minorHAnsi" w:cstheme="minorBidi"/>
      <w:lang w:val="en-IN" w:eastAsia="en-I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per-Title">
    <w:name w:val="Paper-Title"/>
    <w:basedOn w:val="Normal"/>
    <w:rsid w:val="00E417BD"/>
    <w:pPr>
      <w:spacing w:after="120"/>
      <w:jc w:val="center"/>
    </w:pPr>
    <w:rPr>
      <w:rFonts w:ascii="Helvetica" w:eastAsia="Times New Roman" w:hAnsi="Helvetica"/>
      <w:b/>
      <w:sz w:val="36"/>
      <w:szCs w:val="20"/>
      <w:lang w:val="en-US" w:eastAsia="en-US"/>
    </w:rPr>
  </w:style>
  <w:style w:type="paragraph" w:styleId="BodyTextIndent">
    <w:name w:val="Body Text Indent"/>
    <w:basedOn w:val="Normal"/>
    <w:link w:val="BodyTextIndentChar"/>
    <w:semiHidden/>
    <w:unhideWhenUsed/>
    <w:rsid w:val="00E417BD"/>
    <w:pPr>
      <w:spacing w:after="120"/>
      <w:ind w:left="360"/>
    </w:pPr>
  </w:style>
  <w:style w:type="character" w:customStyle="1" w:styleId="BodyTextIndentChar">
    <w:name w:val="Body Text Indent Char"/>
    <w:basedOn w:val="DefaultParagraphFont"/>
    <w:link w:val="BodyTextIndent"/>
    <w:semiHidden/>
    <w:rsid w:val="00E417BD"/>
    <w:rPr>
      <w:sz w:val="24"/>
      <w:szCs w:val="24"/>
      <w:lang w:val="en-AU" w:eastAsia="zh-CN" w:bidi="ar-SA"/>
    </w:rPr>
  </w:style>
  <w:style w:type="paragraph" w:customStyle="1" w:styleId="ffrc">
    <w:name w:val="ffrc"/>
    <w:basedOn w:val="Normal"/>
    <w:rsid w:val="003F2D55"/>
    <w:pPr>
      <w:spacing w:before="100" w:beforeAutospacing="1" w:after="100" w:afterAutospacing="1"/>
    </w:pPr>
    <w:rPr>
      <w:rFonts w:eastAsia="Times New Roman"/>
      <w:lang w:val="en-US" w:eastAsia="en-US"/>
    </w:rPr>
  </w:style>
  <w:style w:type="character" w:customStyle="1" w:styleId="mw-headline">
    <w:name w:val="mw-headline"/>
    <w:basedOn w:val="DefaultParagraphFont"/>
    <w:rsid w:val="003F2D55"/>
  </w:style>
  <w:style w:type="character" w:customStyle="1" w:styleId="mw-editsection1">
    <w:name w:val="mw-editsection1"/>
    <w:basedOn w:val="DefaultParagraphFont"/>
    <w:rsid w:val="003F2D55"/>
  </w:style>
  <w:style w:type="character" w:customStyle="1" w:styleId="mw-editsection-bracket">
    <w:name w:val="mw-editsection-bracket"/>
    <w:basedOn w:val="DefaultParagraphFont"/>
    <w:rsid w:val="003F2D55"/>
  </w:style>
  <w:style w:type="character" w:customStyle="1" w:styleId="y0nh2b">
    <w:name w:val="y0nh2b"/>
    <w:basedOn w:val="DefaultParagraphFont"/>
    <w:rsid w:val="003F2D55"/>
  </w:style>
  <w:style w:type="character" w:customStyle="1" w:styleId="15">
    <w:name w:val="15"/>
    <w:basedOn w:val="DefaultParagraphFont"/>
    <w:rsid w:val="003F2D55"/>
    <w:rPr>
      <w:rFonts w:ascii="Calibri" w:hAnsi="Calibri" w:hint="default"/>
      <w:color w:val="0563C1"/>
      <w:u w:val="single"/>
    </w:rPr>
  </w:style>
  <w:style w:type="character" w:customStyle="1" w:styleId="A1">
    <w:name w:val="A1"/>
    <w:uiPriority w:val="99"/>
    <w:rsid w:val="0008087F"/>
    <w:rPr>
      <w:rFonts w:cs="Calibri"/>
      <w:color w:val="000000"/>
      <w:sz w:val="20"/>
      <w:szCs w:val="20"/>
    </w:rPr>
  </w:style>
  <w:style w:type="paragraph" w:styleId="BodyTextIndent3">
    <w:name w:val="Body Text Indent 3"/>
    <w:basedOn w:val="Normal"/>
    <w:link w:val="BodyTextIndent3Char"/>
    <w:semiHidden/>
    <w:unhideWhenUsed/>
    <w:rsid w:val="001B2193"/>
    <w:pPr>
      <w:spacing w:after="120"/>
      <w:ind w:left="360"/>
    </w:pPr>
    <w:rPr>
      <w:sz w:val="16"/>
      <w:szCs w:val="16"/>
    </w:rPr>
  </w:style>
  <w:style w:type="character" w:customStyle="1" w:styleId="BodyTextIndent3Char">
    <w:name w:val="Body Text Indent 3 Char"/>
    <w:basedOn w:val="DefaultParagraphFont"/>
    <w:link w:val="BodyTextIndent3"/>
    <w:semiHidden/>
    <w:rsid w:val="001B2193"/>
    <w:rPr>
      <w:sz w:val="16"/>
      <w:szCs w:val="16"/>
      <w:lang w:val="en-AU" w:eastAsia="zh-CN" w:bidi="ar-SA"/>
    </w:rPr>
  </w:style>
  <w:style w:type="character" w:customStyle="1" w:styleId="fontstyle21">
    <w:name w:val="fontstyle21"/>
    <w:rsid w:val="001B2193"/>
    <w:rPr>
      <w:rFonts w:ascii="TimesNewRomanPSMT" w:hAnsi="TimesNewRomanPSMT" w:hint="default"/>
      <w:b w:val="0"/>
      <w:bCs w:val="0"/>
      <w:i w:val="0"/>
      <w:iCs w:val="0"/>
      <w:color w:val="000000"/>
      <w:sz w:val="24"/>
      <w:szCs w:val="24"/>
    </w:rPr>
  </w:style>
  <w:style w:type="paragraph" w:customStyle="1" w:styleId="listoftables">
    <w:name w:val="list of tables"/>
    <w:basedOn w:val="Normal"/>
    <w:rsid w:val="00204DB5"/>
    <w:pPr>
      <w:widowControl w:val="0"/>
      <w:autoSpaceDE w:val="0"/>
      <w:autoSpaceDN w:val="0"/>
      <w:adjustRightInd w:val="0"/>
      <w:spacing w:before="100" w:beforeAutospacing="1" w:after="100" w:afterAutospacing="1" w:line="320" w:lineRule="atLeast"/>
      <w:ind w:left="60" w:right="60"/>
      <w:jc w:val="center"/>
    </w:pPr>
    <w:rPr>
      <w:b/>
      <w:bCs/>
      <w:i/>
      <w:iCs/>
      <w:color w:val="010205"/>
      <w:kern w:val="2"/>
      <w:lang w:val="en-US"/>
    </w:rPr>
  </w:style>
  <w:style w:type="table" w:customStyle="1" w:styleId="ListTable21">
    <w:name w:val="List Table 21"/>
    <w:basedOn w:val="TableNormal"/>
    <w:rsid w:val="00204DB5"/>
    <w:rPr>
      <w:rFonts w:eastAsia="Times New Roman"/>
      <w:sz w:val="22"/>
      <w:szCs w:val="22"/>
      <w:lang w:val="en-GB" w:eastAsia="zh-CN" w:bidi="ar-SA"/>
    </w:rPr>
    <w:tblPr>
      <w:tblBorders>
        <w:top w:val="single" w:sz="4" w:space="0" w:color="666666"/>
        <w:bottom w:val="single" w:sz="4" w:space="0" w:color="666666"/>
        <w:insideH w:val="single" w:sz="4" w:space="0" w:color="666666"/>
      </w:tblBorders>
    </w:tblPr>
    <w:tblStylePr w:type="firstRow">
      <w:rPr>
        <w:rFonts w:ascii="Times New Roman" w:hAnsi="Times New Roman" w:cs="Times New Roman" w:hint="default"/>
        <w:b/>
        <w:bCs/>
      </w:rPr>
    </w:tblStylePr>
    <w:tblStylePr w:type="lastRow">
      <w:rPr>
        <w:rFonts w:ascii="Times New Roman" w:hAnsi="Times New Roman" w:cs="Times New Roman" w:hint="default"/>
        <w:b/>
        <w:bCs/>
      </w:r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
    <w:name w:val="List Table 6 Colorful1"/>
    <w:basedOn w:val="TableNormal"/>
    <w:rsid w:val="00204DB5"/>
    <w:pPr>
      <w:widowControl w:val="0"/>
      <w:spacing w:before="100" w:beforeAutospacing="1" w:after="100" w:afterAutospacing="1"/>
      <w:ind w:firstLine="720"/>
      <w:jc w:val="both"/>
    </w:pPr>
    <w:rPr>
      <w:rFonts w:eastAsia="Times New Roman" w:cs="Calibri"/>
      <w:caps/>
      <w:color w:val="000000"/>
      <w:lang w:eastAsia="zh-CN" w:bidi="ar-SA"/>
    </w:rPr>
    <w:tblPr>
      <w:tblBorders>
        <w:top w:val="single" w:sz="4" w:space="0" w:color="000000"/>
        <w:bottom w:val="single" w:sz="4" w:space="0" w:color="000000"/>
      </w:tblBorders>
    </w:tblPr>
    <w:tblStylePr w:type="firstRow">
      <w:rPr>
        <w:rFonts w:ascii="Times New Roman" w:hAnsi="Times New Roman" w:cs="Times New Roman" w:hint="default"/>
        <w:b/>
        <w:bCs/>
      </w:rPr>
      <w:tblPr/>
      <w:tcPr>
        <w:tcBorders>
          <w:bottom w:val="single" w:sz="4" w:space="0" w:color="000000"/>
        </w:tcBorders>
      </w:tcPr>
    </w:tblStylePr>
    <w:tblStylePr w:type="lastRow">
      <w:rPr>
        <w:rFonts w:ascii="Times New Roman" w:hAnsi="Times New Roman" w:cs="Times New Roman" w:hint="default"/>
        <w:b/>
        <w:bCs/>
      </w:rPr>
      <w:tblPr/>
      <w:tcPr>
        <w:tcBorders>
          <w:top w:val="double" w:sz="2" w:space="0" w:color="000000"/>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shd w:val="clear" w:color="auto" w:fill="CCCCCC"/>
      </w:tcPr>
    </w:tblStylePr>
    <w:tblStylePr w:type="band1Horz">
      <w:tblPr/>
      <w:tcPr>
        <w:shd w:val="clear" w:color="auto" w:fill="CCCCCC"/>
      </w:tcPr>
    </w:tblStylePr>
  </w:style>
  <w:style w:type="paragraph" w:customStyle="1" w:styleId="TableParagraph">
    <w:name w:val="Table Paragraph"/>
    <w:basedOn w:val="Normal"/>
    <w:uiPriority w:val="1"/>
    <w:qFormat/>
    <w:rsid w:val="00797368"/>
    <w:pPr>
      <w:widowControl w:val="0"/>
      <w:autoSpaceDE w:val="0"/>
      <w:autoSpaceDN w:val="0"/>
      <w:ind w:left="235"/>
    </w:pPr>
    <w:rPr>
      <w:rFonts w:eastAsia="Times New Roman"/>
      <w:sz w:val="22"/>
      <w:szCs w:val="22"/>
      <w:lang w:val="en-US" w:eastAsia="en-US"/>
    </w:rPr>
  </w:style>
  <w:style w:type="character" w:customStyle="1" w:styleId="NormalWebChar">
    <w:name w:val="Normal (Web) Char"/>
    <w:link w:val="NormalWeb"/>
    <w:qFormat/>
    <w:locked/>
    <w:rsid w:val="009D7679"/>
    <w:rPr>
      <w:rFonts w:eastAsia="Times New Roman"/>
      <w:sz w:val="24"/>
      <w:szCs w:val="24"/>
      <w:lang w:bidi="ar-SA"/>
    </w:rPr>
  </w:style>
  <w:style w:type="character" w:customStyle="1" w:styleId="UnresolvedMention2">
    <w:name w:val="Unresolved Mention2"/>
    <w:basedOn w:val="DefaultParagraphFont"/>
    <w:uiPriority w:val="99"/>
    <w:semiHidden/>
    <w:unhideWhenUsed/>
    <w:rPr>
      <w:color w:val="605E5C"/>
      <w:shd w:val="clear" w:color="auto" w:fill="E1DFDD"/>
    </w:rPr>
  </w:style>
  <w:style w:type="paragraph" w:customStyle="1" w:styleId="hangingentry">
    <w:name w:val="hangingentry"/>
    <w:basedOn w:val="Normal"/>
    <w:rsid w:val="0079618F"/>
    <w:pPr>
      <w:spacing w:before="50"/>
      <w:ind w:left="502" w:hanging="251"/>
    </w:pPr>
    <w:rPr>
      <w:rFonts w:eastAsia="Times New Roman"/>
      <w:lang w:val="en-IN" w:eastAsia="en-IN"/>
    </w:rPr>
  </w:style>
  <w:style w:type="paragraph" w:customStyle="1" w:styleId="MTDisplayEquation">
    <w:name w:val="MTDisplayEquation"/>
    <w:basedOn w:val="Normal"/>
    <w:next w:val="Normal"/>
    <w:link w:val="MTDisplayEquationChar"/>
    <w:rsid w:val="0079618F"/>
    <w:pPr>
      <w:tabs>
        <w:tab w:val="center" w:pos="5100"/>
        <w:tab w:val="right" w:pos="10200"/>
      </w:tabs>
      <w:spacing w:after="200" w:line="360" w:lineRule="auto"/>
      <w:ind w:firstLine="567"/>
    </w:pPr>
    <w:rPr>
      <w:rFonts w:eastAsiaTheme="minorEastAsia"/>
      <w:position w:val="-24"/>
      <w:szCs w:val="22"/>
      <w:lang w:val="en-IN" w:eastAsia="en-IN"/>
    </w:rPr>
  </w:style>
  <w:style w:type="character" w:customStyle="1" w:styleId="MTDisplayEquationChar">
    <w:name w:val="MTDisplayEquation Char"/>
    <w:basedOn w:val="DefaultParagraphFont"/>
    <w:link w:val="MTDisplayEquation"/>
    <w:rsid w:val="0079618F"/>
    <w:rPr>
      <w:rFonts w:eastAsiaTheme="minorEastAsia"/>
      <w:position w:val="-24"/>
      <w:sz w:val="24"/>
      <w:szCs w:val="22"/>
      <w:lang w:val="en-IN" w:eastAsia="en-IN" w:bidi="ar-SA"/>
    </w:rPr>
  </w:style>
  <w:style w:type="paragraph" w:customStyle="1" w:styleId="thesis">
    <w:name w:val="thesis"/>
    <w:basedOn w:val="Normal"/>
    <w:link w:val="thesisChar"/>
    <w:qFormat/>
    <w:rsid w:val="0079618F"/>
    <w:pPr>
      <w:spacing w:before="240" w:after="240" w:line="360" w:lineRule="auto"/>
      <w:jc w:val="both"/>
    </w:pPr>
    <w:rPr>
      <w:rFonts w:asciiTheme="minorHAnsi" w:eastAsiaTheme="minorHAnsi" w:hAnsiTheme="minorHAnsi" w:cstheme="minorBidi"/>
      <w:sz w:val="32"/>
      <w:szCs w:val="32"/>
      <w:lang w:val="en-US" w:eastAsia="en-US"/>
    </w:rPr>
  </w:style>
  <w:style w:type="character" w:customStyle="1" w:styleId="thesisChar">
    <w:name w:val="thesis Char"/>
    <w:basedOn w:val="DefaultParagraphFont"/>
    <w:link w:val="thesis"/>
    <w:rsid w:val="0079618F"/>
    <w:rPr>
      <w:rFonts w:asciiTheme="minorHAnsi" w:eastAsiaTheme="minorHAnsi" w:hAnsiTheme="minorHAnsi" w:cstheme="minorBidi"/>
      <w:sz w:val="32"/>
      <w:szCs w:val="32"/>
      <w:lang w:bidi="ar-SA"/>
    </w:rPr>
  </w:style>
  <w:style w:type="table" w:styleId="MediumGrid3-Accent5">
    <w:name w:val="Medium Grid 3 Accent 5"/>
    <w:basedOn w:val="TableNormal"/>
    <w:uiPriority w:val="69"/>
    <w:rsid w:val="006B10EA"/>
    <w:pPr>
      <w:spacing w:after="160" w:line="259" w:lineRule="auto"/>
    </w:pPr>
    <w:rPr>
      <w:rFonts w:ascii="Calibri" w:eastAsia="Calibri" w:hAnsi="Calibri" w:cs="SimSun"/>
      <w:sz w:val="22"/>
      <w:szCs w:val="22"/>
      <w:lang w:val="en-IN" w:bidi="ar-SA"/>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paragraph" w:customStyle="1" w:styleId="Els-Abstract-head">
    <w:name w:val="Els-Abstract-head"/>
    <w:next w:val="Normal"/>
    <w:rsid w:val="00022D61"/>
    <w:pPr>
      <w:keepNext/>
      <w:suppressAutoHyphens/>
      <w:spacing w:before="440" w:after="200"/>
    </w:pPr>
    <w:rPr>
      <w:b/>
      <w:sz w:val="18"/>
      <w:lang w:bidi="ar-SA"/>
    </w:rPr>
  </w:style>
  <w:style w:type="paragraph" w:customStyle="1" w:styleId="Els-history">
    <w:name w:val="Els-history"/>
    <w:next w:val="Normal"/>
    <w:rsid w:val="00022D61"/>
    <w:pPr>
      <w:pBdr>
        <w:top w:val="single" w:sz="4" w:space="1" w:color="auto"/>
      </w:pBdr>
      <w:spacing w:line="230" w:lineRule="exact"/>
    </w:pPr>
    <w:rPr>
      <w:noProof/>
      <w:sz w:val="15"/>
      <w:lang w:bidi="ar-SA"/>
    </w:rPr>
  </w:style>
  <w:style w:type="table" w:customStyle="1" w:styleId="GridTable1Light1">
    <w:name w:val="Grid Table 1 Light1"/>
    <w:basedOn w:val="TableNormal"/>
    <w:uiPriority w:val="46"/>
    <w:rsid w:val="007A681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DPI21heading1">
    <w:name w:val="MDPI_2.1_heading1"/>
    <w:qFormat/>
    <w:rsid w:val="004005DC"/>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headingAcHA">
    <w:name w:val="headingA cHA"/>
    <w:basedOn w:val="Normal"/>
    <w:next w:val="Normal"/>
    <w:rsid w:val="001F1619"/>
    <w:pPr>
      <w:widowControl w:val="0"/>
      <w:spacing w:before="360" w:after="240" w:line="240" w:lineRule="exact"/>
    </w:pPr>
    <w:rPr>
      <w:rFonts w:eastAsia="Times New Roman"/>
      <w:b/>
      <w:spacing w:val="3"/>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82272">
      <w:bodyDiv w:val="1"/>
      <w:marLeft w:val="0"/>
      <w:marRight w:val="0"/>
      <w:marTop w:val="0"/>
      <w:marBottom w:val="0"/>
      <w:divBdr>
        <w:top w:val="none" w:sz="0" w:space="0" w:color="auto"/>
        <w:left w:val="none" w:sz="0" w:space="0" w:color="auto"/>
        <w:bottom w:val="none" w:sz="0" w:space="0" w:color="auto"/>
        <w:right w:val="none" w:sz="0" w:space="0" w:color="auto"/>
      </w:divBdr>
    </w:div>
    <w:div w:id="39136549">
      <w:bodyDiv w:val="1"/>
      <w:marLeft w:val="0"/>
      <w:marRight w:val="0"/>
      <w:marTop w:val="0"/>
      <w:marBottom w:val="0"/>
      <w:divBdr>
        <w:top w:val="none" w:sz="0" w:space="0" w:color="auto"/>
        <w:left w:val="none" w:sz="0" w:space="0" w:color="auto"/>
        <w:bottom w:val="none" w:sz="0" w:space="0" w:color="auto"/>
        <w:right w:val="none" w:sz="0" w:space="0" w:color="auto"/>
      </w:divBdr>
    </w:div>
    <w:div w:id="39980688">
      <w:bodyDiv w:val="1"/>
      <w:marLeft w:val="0"/>
      <w:marRight w:val="0"/>
      <w:marTop w:val="0"/>
      <w:marBottom w:val="0"/>
      <w:divBdr>
        <w:top w:val="none" w:sz="0" w:space="0" w:color="auto"/>
        <w:left w:val="none" w:sz="0" w:space="0" w:color="auto"/>
        <w:bottom w:val="none" w:sz="0" w:space="0" w:color="auto"/>
        <w:right w:val="none" w:sz="0" w:space="0" w:color="auto"/>
      </w:divBdr>
    </w:div>
    <w:div w:id="50470218">
      <w:bodyDiv w:val="1"/>
      <w:marLeft w:val="0"/>
      <w:marRight w:val="0"/>
      <w:marTop w:val="0"/>
      <w:marBottom w:val="0"/>
      <w:divBdr>
        <w:top w:val="none" w:sz="0" w:space="0" w:color="auto"/>
        <w:left w:val="none" w:sz="0" w:space="0" w:color="auto"/>
        <w:bottom w:val="none" w:sz="0" w:space="0" w:color="auto"/>
        <w:right w:val="none" w:sz="0" w:space="0" w:color="auto"/>
      </w:divBdr>
    </w:div>
    <w:div w:id="55712633">
      <w:bodyDiv w:val="1"/>
      <w:marLeft w:val="0"/>
      <w:marRight w:val="0"/>
      <w:marTop w:val="0"/>
      <w:marBottom w:val="0"/>
      <w:divBdr>
        <w:top w:val="none" w:sz="0" w:space="0" w:color="auto"/>
        <w:left w:val="none" w:sz="0" w:space="0" w:color="auto"/>
        <w:bottom w:val="none" w:sz="0" w:space="0" w:color="auto"/>
        <w:right w:val="none" w:sz="0" w:space="0" w:color="auto"/>
      </w:divBdr>
    </w:div>
    <w:div w:id="70201682">
      <w:bodyDiv w:val="1"/>
      <w:marLeft w:val="0"/>
      <w:marRight w:val="0"/>
      <w:marTop w:val="0"/>
      <w:marBottom w:val="0"/>
      <w:divBdr>
        <w:top w:val="none" w:sz="0" w:space="0" w:color="auto"/>
        <w:left w:val="none" w:sz="0" w:space="0" w:color="auto"/>
        <w:bottom w:val="none" w:sz="0" w:space="0" w:color="auto"/>
        <w:right w:val="none" w:sz="0" w:space="0" w:color="auto"/>
      </w:divBdr>
    </w:div>
    <w:div w:id="78912981">
      <w:bodyDiv w:val="1"/>
      <w:marLeft w:val="0"/>
      <w:marRight w:val="0"/>
      <w:marTop w:val="0"/>
      <w:marBottom w:val="0"/>
      <w:divBdr>
        <w:top w:val="none" w:sz="0" w:space="0" w:color="auto"/>
        <w:left w:val="none" w:sz="0" w:space="0" w:color="auto"/>
        <w:bottom w:val="none" w:sz="0" w:space="0" w:color="auto"/>
        <w:right w:val="none" w:sz="0" w:space="0" w:color="auto"/>
      </w:divBdr>
    </w:div>
    <w:div w:id="79714573">
      <w:bodyDiv w:val="1"/>
      <w:marLeft w:val="0"/>
      <w:marRight w:val="0"/>
      <w:marTop w:val="0"/>
      <w:marBottom w:val="0"/>
      <w:divBdr>
        <w:top w:val="none" w:sz="0" w:space="0" w:color="auto"/>
        <w:left w:val="none" w:sz="0" w:space="0" w:color="auto"/>
        <w:bottom w:val="none" w:sz="0" w:space="0" w:color="auto"/>
        <w:right w:val="none" w:sz="0" w:space="0" w:color="auto"/>
      </w:divBdr>
    </w:div>
    <w:div w:id="121390978">
      <w:bodyDiv w:val="1"/>
      <w:marLeft w:val="0"/>
      <w:marRight w:val="0"/>
      <w:marTop w:val="0"/>
      <w:marBottom w:val="0"/>
      <w:divBdr>
        <w:top w:val="none" w:sz="0" w:space="0" w:color="auto"/>
        <w:left w:val="none" w:sz="0" w:space="0" w:color="auto"/>
        <w:bottom w:val="none" w:sz="0" w:space="0" w:color="auto"/>
        <w:right w:val="none" w:sz="0" w:space="0" w:color="auto"/>
      </w:divBdr>
    </w:div>
    <w:div w:id="132873349">
      <w:bodyDiv w:val="1"/>
      <w:marLeft w:val="0"/>
      <w:marRight w:val="0"/>
      <w:marTop w:val="0"/>
      <w:marBottom w:val="0"/>
      <w:divBdr>
        <w:top w:val="none" w:sz="0" w:space="0" w:color="auto"/>
        <w:left w:val="none" w:sz="0" w:space="0" w:color="auto"/>
        <w:bottom w:val="none" w:sz="0" w:space="0" w:color="auto"/>
        <w:right w:val="none" w:sz="0" w:space="0" w:color="auto"/>
      </w:divBdr>
    </w:div>
    <w:div w:id="139156480">
      <w:bodyDiv w:val="1"/>
      <w:marLeft w:val="0"/>
      <w:marRight w:val="0"/>
      <w:marTop w:val="0"/>
      <w:marBottom w:val="0"/>
      <w:divBdr>
        <w:top w:val="none" w:sz="0" w:space="0" w:color="auto"/>
        <w:left w:val="none" w:sz="0" w:space="0" w:color="auto"/>
        <w:bottom w:val="none" w:sz="0" w:space="0" w:color="auto"/>
        <w:right w:val="none" w:sz="0" w:space="0" w:color="auto"/>
      </w:divBdr>
    </w:div>
    <w:div w:id="140539328">
      <w:bodyDiv w:val="1"/>
      <w:marLeft w:val="0"/>
      <w:marRight w:val="0"/>
      <w:marTop w:val="0"/>
      <w:marBottom w:val="0"/>
      <w:divBdr>
        <w:top w:val="none" w:sz="0" w:space="0" w:color="auto"/>
        <w:left w:val="none" w:sz="0" w:space="0" w:color="auto"/>
        <w:bottom w:val="none" w:sz="0" w:space="0" w:color="auto"/>
        <w:right w:val="none" w:sz="0" w:space="0" w:color="auto"/>
      </w:divBdr>
    </w:div>
    <w:div w:id="141392870">
      <w:bodyDiv w:val="1"/>
      <w:marLeft w:val="0"/>
      <w:marRight w:val="0"/>
      <w:marTop w:val="0"/>
      <w:marBottom w:val="0"/>
      <w:divBdr>
        <w:top w:val="none" w:sz="0" w:space="0" w:color="auto"/>
        <w:left w:val="none" w:sz="0" w:space="0" w:color="auto"/>
        <w:bottom w:val="none" w:sz="0" w:space="0" w:color="auto"/>
        <w:right w:val="none" w:sz="0" w:space="0" w:color="auto"/>
      </w:divBdr>
    </w:div>
    <w:div w:id="143473978">
      <w:bodyDiv w:val="1"/>
      <w:marLeft w:val="0"/>
      <w:marRight w:val="0"/>
      <w:marTop w:val="0"/>
      <w:marBottom w:val="0"/>
      <w:divBdr>
        <w:top w:val="none" w:sz="0" w:space="0" w:color="auto"/>
        <w:left w:val="none" w:sz="0" w:space="0" w:color="auto"/>
        <w:bottom w:val="none" w:sz="0" w:space="0" w:color="auto"/>
        <w:right w:val="none" w:sz="0" w:space="0" w:color="auto"/>
      </w:divBdr>
    </w:div>
    <w:div w:id="169831435">
      <w:bodyDiv w:val="1"/>
      <w:marLeft w:val="0"/>
      <w:marRight w:val="0"/>
      <w:marTop w:val="0"/>
      <w:marBottom w:val="0"/>
      <w:divBdr>
        <w:top w:val="none" w:sz="0" w:space="0" w:color="auto"/>
        <w:left w:val="none" w:sz="0" w:space="0" w:color="auto"/>
        <w:bottom w:val="none" w:sz="0" w:space="0" w:color="auto"/>
        <w:right w:val="none" w:sz="0" w:space="0" w:color="auto"/>
      </w:divBdr>
    </w:div>
    <w:div w:id="176698656">
      <w:bodyDiv w:val="1"/>
      <w:marLeft w:val="0"/>
      <w:marRight w:val="0"/>
      <w:marTop w:val="0"/>
      <w:marBottom w:val="0"/>
      <w:divBdr>
        <w:top w:val="none" w:sz="0" w:space="0" w:color="auto"/>
        <w:left w:val="none" w:sz="0" w:space="0" w:color="auto"/>
        <w:bottom w:val="none" w:sz="0" w:space="0" w:color="auto"/>
        <w:right w:val="none" w:sz="0" w:space="0" w:color="auto"/>
      </w:divBdr>
      <w:divsChild>
        <w:div w:id="2115588912">
          <w:marLeft w:val="0"/>
          <w:marRight w:val="0"/>
          <w:marTop w:val="48"/>
          <w:marBottom w:val="0"/>
          <w:divBdr>
            <w:top w:val="none" w:sz="0" w:space="0" w:color="auto"/>
            <w:left w:val="none" w:sz="0" w:space="0" w:color="auto"/>
            <w:bottom w:val="none" w:sz="0" w:space="0" w:color="auto"/>
            <w:right w:val="none" w:sz="0" w:space="0" w:color="auto"/>
          </w:divBdr>
        </w:div>
        <w:div w:id="1785926298">
          <w:marLeft w:val="0"/>
          <w:marRight w:val="0"/>
          <w:marTop w:val="48"/>
          <w:marBottom w:val="0"/>
          <w:divBdr>
            <w:top w:val="none" w:sz="0" w:space="0" w:color="auto"/>
            <w:left w:val="none" w:sz="0" w:space="0" w:color="auto"/>
            <w:bottom w:val="none" w:sz="0" w:space="0" w:color="auto"/>
            <w:right w:val="none" w:sz="0" w:space="0" w:color="auto"/>
          </w:divBdr>
        </w:div>
        <w:div w:id="563414881">
          <w:marLeft w:val="0"/>
          <w:marRight w:val="0"/>
          <w:marTop w:val="48"/>
          <w:marBottom w:val="0"/>
          <w:divBdr>
            <w:top w:val="none" w:sz="0" w:space="0" w:color="auto"/>
            <w:left w:val="none" w:sz="0" w:space="0" w:color="auto"/>
            <w:bottom w:val="none" w:sz="0" w:space="0" w:color="auto"/>
            <w:right w:val="none" w:sz="0" w:space="0" w:color="auto"/>
          </w:divBdr>
        </w:div>
        <w:div w:id="1997608621">
          <w:marLeft w:val="0"/>
          <w:marRight w:val="0"/>
          <w:marTop w:val="48"/>
          <w:marBottom w:val="0"/>
          <w:divBdr>
            <w:top w:val="none" w:sz="0" w:space="0" w:color="auto"/>
            <w:left w:val="none" w:sz="0" w:space="0" w:color="auto"/>
            <w:bottom w:val="none" w:sz="0" w:space="0" w:color="auto"/>
            <w:right w:val="none" w:sz="0" w:space="0" w:color="auto"/>
          </w:divBdr>
        </w:div>
      </w:divsChild>
    </w:div>
    <w:div w:id="182208090">
      <w:bodyDiv w:val="1"/>
      <w:marLeft w:val="0"/>
      <w:marRight w:val="0"/>
      <w:marTop w:val="0"/>
      <w:marBottom w:val="0"/>
      <w:divBdr>
        <w:top w:val="none" w:sz="0" w:space="0" w:color="auto"/>
        <w:left w:val="none" w:sz="0" w:space="0" w:color="auto"/>
        <w:bottom w:val="none" w:sz="0" w:space="0" w:color="auto"/>
        <w:right w:val="none" w:sz="0" w:space="0" w:color="auto"/>
      </w:divBdr>
    </w:div>
    <w:div w:id="184053713">
      <w:bodyDiv w:val="1"/>
      <w:marLeft w:val="0"/>
      <w:marRight w:val="0"/>
      <w:marTop w:val="0"/>
      <w:marBottom w:val="0"/>
      <w:divBdr>
        <w:top w:val="none" w:sz="0" w:space="0" w:color="auto"/>
        <w:left w:val="none" w:sz="0" w:space="0" w:color="auto"/>
        <w:bottom w:val="none" w:sz="0" w:space="0" w:color="auto"/>
        <w:right w:val="none" w:sz="0" w:space="0" w:color="auto"/>
      </w:divBdr>
    </w:div>
    <w:div w:id="189268376">
      <w:bodyDiv w:val="1"/>
      <w:marLeft w:val="0"/>
      <w:marRight w:val="0"/>
      <w:marTop w:val="0"/>
      <w:marBottom w:val="0"/>
      <w:divBdr>
        <w:top w:val="none" w:sz="0" w:space="0" w:color="auto"/>
        <w:left w:val="none" w:sz="0" w:space="0" w:color="auto"/>
        <w:bottom w:val="none" w:sz="0" w:space="0" w:color="auto"/>
        <w:right w:val="none" w:sz="0" w:space="0" w:color="auto"/>
      </w:divBdr>
    </w:div>
    <w:div w:id="209810081">
      <w:bodyDiv w:val="1"/>
      <w:marLeft w:val="0"/>
      <w:marRight w:val="0"/>
      <w:marTop w:val="0"/>
      <w:marBottom w:val="0"/>
      <w:divBdr>
        <w:top w:val="none" w:sz="0" w:space="0" w:color="auto"/>
        <w:left w:val="none" w:sz="0" w:space="0" w:color="auto"/>
        <w:bottom w:val="none" w:sz="0" w:space="0" w:color="auto"/>
        <w:right w:val="none" w:sz="0" w:space="0" w:color="auto"/>
      </w:divBdr>
    </w:div>
    <w:div w:id="210702107">
      <w:bodyDiv w:val="1"/>
      <w:marLeft w:val="0"/>
      <w:marRight w:val="0"/>
      <w:marTop w:val="0"/>
      <w:marBottom w:val="0"/>
      <w:divBdr>
        <w:top w:val="none" w:sz="0" w:space="0" w:color="auto"/>
        <w:left w:val="none" w:sz="0" w:space="0" w:color="auto"/>
        <w:bottom w:val="none" w:sz="0" w:space="0" w:color="auto"/>
        <w:right w:val="none" w:sz="0" w:space="0" w:color="auto"/>
      </w:divBdr>
    </w:div>
    <w:div w:id="222953906">
      <w:bodyDiv w:val="1"/>
      <w:marLeft w:val="0"/>
      <w:marRight w:val="0"/>
      <w:marTop w:val="0"/>
      <w:marBottom w:val="0"/>
      <w:divBdr>
        <w:top w:val="none" w:sz="0" w:space="0" w:color="auto"/>
        <w:left w:val="none" w:sz="0" w:space="0" w:color="auto"/>
        <w:bottom w:val="none" w:sz="0" w:space="0" w:color="auto"/>
        <w:right w:val="none" w:sz="0" w:space="0" w:color="auto"/>
      </w:divBdr>
    </w:div>
    <w:div w:id="223567131">
      <w:bodyDiv w:val="1"/>
      <w:marLeft w:val="0"/>
      <w:marRight w:val="0"/>
      <w:marTop w:val="0"/>
      <w:marBottom w:val="0"/>
      <w:divBdr>
        <w:top w:val="none" w:sz="0" w:space="0" w:color="auto"/>
        <w:left w:val="none" w:sz="0" w:space="0" w:color="auto"/>
        <w:bottom w:val="none" w:sz="0" w:space="0" w:color="auto"/>
        <w:right w:val="none" w:sz="0" w:space="0" w:color="auto"/>
      </w:divBdr>
    </w:div>
    <w:div w:id="233012813">
      <w:bodyDiv w:val="1"/>
      <w:marLeft w:val="0"/>
      <w:marRight w:val="0"/>
      <w:marTop w:val="0"/>
      <w:marBottom w:val="0"/>
      <w:divBdr>
        <w:top w:val="none" w:sz="0" w:space="0" w:color="auto"/>
        <w:left w:val="none" w:sz="0" w:space="0" w:color="auto"/>
        <w:bottom w:val="none" w:sz="0" w:space="0" w:color="auto"/>
        <w:right w:val="none" w:sz="0" w:space="0" w:color="auto"/>
      </w:divBdr>
    </w:div>
    <w:div w:id="233049067">
      <w:bodyDiv w:val="1"/>
      <w:marLeft w:val="0"/>
      <w:marRight w:val="0"/>
      <w:marTop w:val="0"/>
      <w:marBottom w:val="0"/>
      <w:divBdr>
        <w:top w:val="none" w:sz="0" w:space="0" w:color="auto"/>
        <w:left w:val="none" w:sz="0" w:space="0" w:color="auto"/>
        <w:bottom w:val="none" w:sz="0" w:space="0" w:color="auto"/>
        <w:right w:val="none" w:sz="0" w:space="0" w:color="auto"/>
      </w:divBdr>
    </w:div>
    <w:div w:id="265161934">
      <w:bodyDiv w:val="1"/>
      <w:marLeft w:val="0"/>
      <w:marRight w:val="0"/>
      <w:marTop w:val="0"/>
      <w:marBottom w:val="0"/>
      <w:divBdr>
        <w:top w:val="none" w:sz="0" w:space="0" w:color="auto"/>
        <w:left w:val="none" w:sz="0" w:space="0" w:color="auto"/>
        <w:bottom w:val="none" w:sz="0" w:space="0" w:color="auto"/>
        <w:right w:val="none" w:sz="0" w:space="0" w:color="auto"/>
      </w:divBdr>
    </w:div>
    <w:div w:id="278924497">
      <w:bodyDiv w:val="1"/>
      <w:marLeft w:val="0"/>
      <w:marRight w:val="0"/>
      <w:marTop w:val="0"/>
      <w:marBottom w:val="0"/>
      <w:divBdr>
        <w:top w:val="none" w:sz="0" w:space="0" w:color="auto"/>
        <w:left w:val="none" w:sz="0" w:space="0" w:color="auto"/>
        <w:bottom w:val="none" w:sz="0" w:space="0" w:color="auto"/>
        <w:right w:val="none" w:sz="0" w:space="0" w:color="auto"/>
      </w:divBdr>
    </w:div>
    <w:div w:id="292908062">
      <w:bodyDiv w:val="1"/>
      <w:marLeft w:val="0"/>
      <w:marRight w:val="0"/>
      <w:marTop w:val="0"/>
      <w:marBottom w:val="0"/>
      <w:divBdr>
        <w:top w:val="none" w:sz="0" w:space="0" w:color="auto"/>
        <w:left w:val="none" w:sz="0" w:space="0" w:color="auto"/>
        <w:bottom w:val="none" w:sz="0" w:space="0" w:color="auto"/>
        <w:right w:val="none" w:sz="0" w:space="0" w:color="auto"/>
      </w:divBdr>
    </w:div>
    <w:div w:id="306129722">
      <w:bodyDiv w:val="1"/>
      <w:marLeft w:val="0"/>
      <w:marRight w:val="0"/>
      <w:marTop w:val="0"/>
      <w:marBottom w:val="0"/>
      <w:divBdr>
        <w:top w:val="none" w:sz="0" w:space="0" w:color="auto"/>
        <w:left w:val="none" w:sz="0" w:space="0" w:color="auto"/>
        <w:bottom w:val="none" w:sz="0" w:space="0" w:color="auto"/>
        <w:right w:val="none" w:sz="0" w:space="0" w:color="auto"/>
      </w:divBdr>
    </w:div>
    <w:div w:id="328414576">
      <w:bodyDiv w:val="1"/>
      <w:marLeft w:val="0"/>
      <w:marRight w:val="0"/>
      <w:marTop w:val="0"/>
      <w:marBottom w:val="0"/>
      <w:divBdr>
        <w:top w:val="none" w:sz="0" w:space="0" w:color="auto"/>
        <w:left w:val="none" w:sz="0" w:space="0" w:color="auto"/>
        <w:bottom w:val="none" w:sz="0" w:space="0" w:color="auto"/>
        <w:right w:val="none" w:sz="0" w:space="0" w:color="auto"/>
      </w:divBdr>
    </w:div>
    <w:div w:id="337971611">
      <w:bodyDiv w:val="1"/>
      <w:marLeft w:val="0"/>
      <w:marRight w:val="0"/>
      <w:marTop w:val="0"/>
      <w:marBottom w:val="0"/>
      <w:divBdr>
        <w:top w:val="none" w:sz="0" w:space="0" w:color="auto"/>
        <w:left w:val="none" w:sz="0" w:space="0" w:color="auto"/>
        <w:bottom w:val="none" w:sz="0" w:space="0" w:color="auto"/>
        <w:right w:val="none" w:sz="0" w:space="0" w:color="auto"/>
      </w:divBdr>
      <w:divsChild>
        <w:div w:id="1554656744">
          <w:marLeft w:val="720"/>
          <w:marRight w:val="0"/>
          <w:marTop w:val="0"/>
          <w:marBottom w:val="0"/>
          <w:divBdr>
            <w:top w:val="none" w:sz="0" w:space="0" w:color="auto"/>
            <w:left w:val="none" w:sz="0" w:space="0" w:color="auto"/>
            <w:bottom w:val="none" w:sz="0" w:space="0" w:color="auto"/>
            <w:right w:val="none" w:sz="0" w:space="0" w:color="auto"/>
          </w:divBdr>
        </w:div>
        <w:div w:id="299700616">
          <w:marLeft w:val="720"/>
          <w:marRight w:val="0"/>
          <w:marTop w:val="0"/>
          <w:marBottom w:val="0"/>
          <w:divBdr>
            <w:top w:val="none" w:sz="0" w:space="0" w:color="auto"/>
            <w:left w:val="none" w:sz="0" w:space="0" w:color="auto"/>
            <w:bottom w:val="none" w:sz="0" w:space="0" w:color="auto"/>
            <w:right w:val="none" w:sz="0" w:space="0" w:color="auto"/>
          </w:divBdr>
        </w:div>
        <w:div w:id="594283928">
          <w:marLeft w:val="720"/>
          <w:marRight w:val="0"/>
          <w:marTop w:val="0"/>
          <w:marBottom w:val="0"/>
          <w:divBdr>
            <w:top w:val="none" w:sz="0" w:space="0" w:color="auto"/>
            <w:left w:val="none" w:sz="0" w:space="0" w:color="auto"/>
            <w:bottom w:val="none" w:sz="0" w:space="0" w:color="auto"/>
            <w:right w:val="none" w:sz="0" w:space="0" w:color="auto"/>
          </w:divBdr>
        </w:div>
        <w:div w:id="824661053">
          <w:marLeft w:val="720"/>
          <w:marRight w:val="0"/>
          <w:marTop w:val="0"/>
          <w:marBottom w:val="0"/>
          <w:divBdr>
            <w:top w:val="none" w:sz="0" w:space="0" w:color="auto"/>
            <w:left w:val="none" w:sz="0" w:space="0" w:color="auto"/>
            <w:bottom w:val="none" w:sz="0" w:space="0" w:color="auto"/>
            <w:right w:val="none" w:sz="0" w:space="0" w:color="auto"/>
          </w:divBdr>
        </w:div>
        <w:div w:id="1388380742">
          <w:marLeft w:val="720"/>
          <w:marRight w:val="0"/>
          <w:marTop w:val="0"/>
          <w:marBottom w:val="0"/>
          <w:divBdr>
            <w:top w:val="none" w:sz="0" w:space="0" w:color="auto"/>
            <w:left w:val="none" w:sz="0" w:space="0" w:color="auto"/>
            <w:bottom w:val="none" w:sz="0" w:space="0" w:color="auto"/>
            <w:right w:val="none" w:sz="0" w:space="0" w:color="auto"/>
          </w:divBdr>
        </w:div>
        <w:div w:id="711422111">
          <w:marLeft w:val="720"/>
          <w:marRight w:val="0"/>
          <w:marTop w:val="0"/>
          <w:marBottom w:val="0"/>
          <w:divBdr>
            <w:top w:val="none" w:sz="0" w:space="0" w:color="auto"/>
            <w:left w:val="none" w:sz="0" w:space="0" w:color="auto"/>
            <w:bottom w:val="none" w:sz="0" w:space="0" w:color="auto"/>
            <w:right w:val="none" w:sz="0" w:space="0" w:color="auto"/>
          </w:divBdr>
        </w:div>
        <w:div w:id="901253544">
          <w:marLeft w:val="720"/>
          <w:marRight w:val="0"/>
          <w:marTop w:val="0"/>
          <w:marBottom w:val="0"/>
          <w:divBdr>
            <w:top w:val="none" w:sz="0" w:space="0" w:color="auto"/>
            <w:left w:val="none" w:sz="0" w:space="0" w:color="auto"/>
            <w:bottom w:val="none" w:sz="0" w:space="0" w:color="auto"/>
            <w:right w:val="none" w:sz="0" w:space="0" w:color="auto"/>
          </w:divBdr>
        </w:div>
        <w:div w:id="1965694274">
          <w:marLeft w:val="720"/>
          <w:marRight w:val="0"/>
          <w:marTop w:val="0"/>
          <w:marBottom w:val="0"/>
          <w:divBdr>
            <w:top w:val="none" w:sz="0" w:space="0" w:color="auto"/>
            <w:left w:val="none" w:sz="0" w:space="0" w:color="auto"/>
            <w:bottom w:val="none" w:sz="0" w:space="0" w:color="auto"/>
            <w:right w:val="none" w:sz="0" w:space="0" w:color="auto"/>
          </w:divBdr>
        </w:div>
        <w:div w:id="1927105422">
          <w:marLeft w:val="720"/>
          <w:marRight w:val="0"/>
          <w:marTop w:val="0"/>
          <w:marBottom w:val="0"/>
          <w:divBdr>
            <w:top w:val="none" w:sz="0" w:space="0" w:color="auto"/>
            <w:left w:val="none" w:sz="0" w:space="0" w:color="auto"/>
            <w:bottom w:val="none" w:sz="0" w:space="0" w:color="auto"/>
            <w:right w:val="none" w:sz="0" w:space="0" w:color="auto"/>
          </w:divBdr>
        </w:div>
        <w:div w:id="921063154">
          <w:marLeft w:val="720"/>
          <w:marRight w:val="0"/>
          <w:marTop w:val="0"/>
          <w:marBottom w:val="0"/>
          <w:divBdr>
            <w:top w:val="none" w:sz="0" w:space="0" w:color="auto"/>
            <w:left w:val="none" w:sz="0" w:space="0" w:color="auto"/>
            <w:bottom w:val="none" w:sz="0" w:space="0" w:color="auto"/>
            <w:right w:val="none" w:sz="0" w:space="0" w:color="auto"/>
          </w:divBdr>
        </w:div>
        <w:div w:id="323625707">
          <w:marLeft w:val="720"/>
          <w:marRight w:val="0"/>
          <w:marTop w:val="0"/>
          <w:marBottom w:val="0"/>
          <w:divBdr>
            <w:top w:val="none" w:sz="0" w:space="0" w:color="auto"/>
            <w:left w:val="none" w:sz="0" w:space="0" w:color="auto"/>
            <w:bottom w:val="none" w:sz="0" w:space="0" w:color="auto"/>
            <w:right w:val="none" w:sz="0" w:space="0" w:color="auto"/>
          </w:divBdr>
        </w:div>
      </w:divsChild>
    </w:div>
    <w:div w:id="352609388">
      <w:bodyDiv w:val="1"/>
      <w:marLeft w:val="0"/>
      <w:marRight w:val="0"/>
      <w:marTop w:val="0"/>
      <w:marBottom w:val="0"/>
      <w:divBdr>
        <w:top w:val="none" w:sz="0" w:space="0" w:color="auto"/>
        <w:left w:val="none" w:sz="0" w:space="0" w:color="auto"/>
        <w:bottom w:val="none" w:sz="0" w:space="0" w:color="auto"/>
        <w:right w:val="none" w:sz="0" w:space="0" w:color="auto"/>
      </w:divBdr>
    </w:div>
    <w:div w:id="378751565">
      <w:bodyDiv w:val="1"/>
      <w:marLeft w:val="0"/>
      <w:marRight w:val="0"/>
      <w:marTop w:val="0"/>
      <w:marBottom w:val="0"/>
      <w:divBdr>
        <w:top w:val="none" w:sz="0" w:space="0" w:color="auto"/>
        <w:left w:val="none" w:sz="0" w:space="0" w:color="auto"/>
        <w:bottom w:val="none" w:sz="0" w:space="0" w:color="auto"/>
        <w:right w:val="none" w:sz="0" w:space="0" w:color="auto"/>
      </w:divBdr>
    </w:div>
    <w:div w:id="417754558">
      <w:bodyDiv w:val="1"/>
      <w:marLeft w:val="0"/>
      <w:marRight w:val="0"/>
      <w:marTop w:val="0"/>
      <w:marBottom w:val="0"/>
      <w:divBdr>
        <w:top w:val="none" w:sz="0" w:space="0" w:color="auto"/>
        <w:left w:val="none" w:sz="0" w:space="0" w:color="auto"/>
        <w:bottom w:val="none" w:sz="0" w:space="0" w:color="auto"/>
        <w:right w:val="none" w:sz="0" w:space="0" w:color="auto"/>
      </w:divBdr>
    </w:div>
    <w:div w:id="429468561">
      <w:bodyDiv w:val="1"/>
      <w:marLeft w:val="0"/>
      <w:marRight w:val="0"/>
      <w:marTop w:val="0"/>
      <w:marBottom w:val="0"/>
      <w:divBdr>
        <w:top w:val="none" w:sz="0" w:space="0" w:color="auto"/>
        <w:left w:val="none" w:sz="0" w:space="0" w:color="auto"/>
        <w:bottom w:val="none" w:sz="0" w:space="0" w:color="auto"/>
        <w:right w:val="none" w:sz="0" w:space="0" w:color="auto"/>
      </w:divBdr>
    </w:div>
    <w:div w:id="429592829">
      <w:bodyDiv w:val="1"/>
      <w:marLeft w:val="0"/>
      <w:marRight w:val="0"/>
      <w:marTop w:val="0"/>
      <w:marBottom w:val="0"/>
      <w:divBdr>
        <w:top w:val="none" w:sz="0" w:space="0" w:color="auto"/>
        <w:left w:val="none" w:sz="0" w:space="0" w:color="auto"/>
        <w:bottom w:val="none" w:sz="0" w:space="0" w:color="auto"/>
        <w:right w:val="none" w:sz="0" w:space="0" w:color="auto"/>
      </w:divBdr>
    </w:div>
    <w:div w:id="430854547">
      <w:bodyDiv w:val="1"/>
      <w:marLeft w:val="0"/>
      <w:marRight w:val="0"/>
      <w:marTop w:val="0"/>
      <w:marBottom w:val="0"/>
      <w:divBdr>
        <w:top w:val="none" w:sz="0" w:space="0" w:color="auto"/>
        <w:left w:val="none" w:sz="0" w:space="0" w:color="auto"/>
        <w:bottom w:val="none" w:sz="0" w:space="0" w:color="auto"/>
        <w:right w:val="none" w:sz="0" w:space="0" w:color="auto"/>
      </w:divBdr>
    </w:div>
    <w:div w:id="432550063">
      <w:bodyDiv w:val="1"/>
      <w:marLeft w:val="0"/>
      <w:marRight w:val="0"/>
      <w:marTop w:val="0"/>
      <w:marBottom w:val="0"/>
      <w:divBdr>
        <w:top w:val="none" w:sz="0" w:space="0" w:color="auto"/>
        <w:left w:val="none" w:sz="0" w:space="0" w:color="auto"/>
        <w:bottom w:val="none" w:sz="0" w:space="0" w:color="auto"/>
        <w:right w:val="none" w:sz="0" w:space="0" w:color="auto"/>
      </w:divBdr>
    </w:div>
    <w:div w:id="437722274">
      <w:bodyDiv w:val="1"/>
      <w:marLeft w:val="0"/>
      <w:marRight w:val="0"/>
      <w:marTop w:val="0"/>
      <w:marBottom w:val="0"/>
      <w:divBdr>
        <w:top w:val="none" w:sz="0" w:space="0" w:color="auto"/>
        <w:left w:val="none" w:sz="0" w:space="0" w:color="auto"/>
        <w:bottom w:val="none" w:sz="0" w:space="0" w:color="auto"/>
        <w:right w:val="none" w:sz="0" w:space="0" w:color="auto"/>
      </w:divBdr>
    </w:div>
    <w:div w:id="442918492">
      <w:bodyDiv w:val="1"/>
      <w:marLeft w:val="0"/>
      <w:marRight w:val="0"/>
      <w:marTop w:val="0"/>
      <w:marBottom w:val="0"/>
      <w:divBdr>
        <w:top w:val="none" w:sz="0" w:space="0" w:color="auto"/>
        <w:left w:val="none" w:sz="0" w:space="0" w:color="auto"/>
        <w:bottom w:val="none" w:sz="0" w:space="0" w:color="auto"/>
        <w:right w:val="none" w:sz="0" w:space="0" w:color="auto"/>
      </w:divBdr>
    </w:div>
    <w:div w:id="450127666">
      <w:bodyDiv w:val="1"/>
      <w:marLeft w:val="0"/>
      <w:marRight w:val="0"/>
      <w:marTop w:val="0"/>
      <w:marBottom w:val="0"/>
      <w:divBdr>
        <w:top w:val="none" w:sz="0" w:space="0" w:color="auto"/>
        <w:left w:val="none" w:sz="0" w:space="0" w:color="auto"/>
        <w:bottom w:val="none" w:sz="0" w:space="0" w:color="auto"/>
        <w:right w:val="none" w:sz="0" w:space="0" w:color="auto"/>
      </w:divBdr>
    </w:div>
    <w:div w:id="457601715">
      <w:bodyDiv w:val="1"/>
      <w:marLeft w:val="0"/>
      <w:marRight w:val="0"/>
      <w:marTop w:val="0"/>
      <w:marBottom w:val="0"/>
      <w:divBdr>
        <w:top w:val="none" w:sz="0" w:space="0" w:color="auto"/>
        <w:left w:val="none" w:sz="0" w:space="0" w:color="auto"/>
        <w:bottom w:val="none" w:sz="0" w:space="0" w:color="auto"/>
        <w:right w:val="none" w:sz="0" w:space="0" w:color="auto"/>
      </w:divBdr>
    </w:div>
    <w:div w:id="472673183">
      <w:bodyDiv w:val="1"/>
      <w:marLeft w:val="0"/>
      <w:marRight w:val="0"/>
      <w:marTop w:val="0"/>
      <w:marBottom w:val="0"/>
      <w:divBdr>
        <w:top w:val="none" w:sz="0" w:space="0" w:color="auto"/>
        <w:left w:val="none" w:sz="0" w:space="0" w:color="auto"/>
        <w:bottom w:val="none" w:sz="0" w:space="0" w:color="auto"/>
        <w:right w:val="none" w:sz="0" w:space="0" w:color="auto"/>
      </w:divBdr>
    </w:div>
    <w:div w:id="486362348">
      <w:bodyDiv w:val="1"/>
      <w:marLeft w:val="0"/>
      <w:marRight w:val="0"/>
      <w:marTop w:val="0"/>
      <w:marBottom w:val="0"/>
      <w:divBdr>
        <w:top w:val="none" w:sz="0" w:space="0" w:color="auto"/>
        <w:left w:val="none" w:sz="0" w:space="0" w:color="auto"/>
        <w:bottom w:val="none" w:sz="0" w:space="0" w:color="auto"/>
        <w:right w:val="none" w:sz="0" w:space="0" w:color="auto"/>
      </w:divBdr>
    </w:div>
    <w:div w:id="524905934">
      <w:bodyDiv w:val="1"/>
      <w:marLeft w:val="0"/>
      <w:marRight w:val="0"/>
      <w:marTop w:val="0"/>
      <w:marBottom w:val="0"/>
      <w:divBdr>
        <w:top w:val="none" w:sz="0" w:space="0" w:color="auto"/>
        <w:left w:val="none" w:sz="0" w:space="0" w:color="auto"/>
        <w:bottom w:val="none" w:sz="0" w:space="0" w:color="auto"/>
        <w:right w:val="none" w:sz="0" w:space="0" w:color="auto"/>
      </w:divBdr>
    </w:div>
    <w:div w:id="576981657">
      <w:bodyDiv w:val="1"/>
      <w:marLeft w:val="0"/>
      <w:marRight w:val="0"/>
      <w:marTop w:val="0"/>
      <w:marBottom w:val="0"/>
      <w:divBdr>
        <w:top w:val="none" w:sz="0" w:space="0" w:color="auto"/>
        <w:left w:val="none" w:sz="0" w:space="0" w:color="auto"/>
        <w:bottom w:val="none" w:sz="0" w:space="0" w:color="auto"/>
        <w:right w:val="none" w:sz="0" w:space="0" w:color="auto"/>
      </w:divBdr>
    </w:div>
    <w:div w:id="627325313">
      <w:bodyDiv w:val="1"/>
      <w:marLeft w:val="0"/>
      <w:marRight w:val="0"/>
      <w:marTop w:val="0"/>
      <w:marBottom w:val="0"/>
      <w:divBdr>
        <w:top w:val="none" w:sz="0" w:space="0" w:color="auto"/>
        <w:left w:val="none" w:sz="0" w:space="0" w:color="auto"/>
        <w:bottom w:val="none" w:sz="0" w:space="0" w:color="auto"/>
        <w:right w:val="none" w:sz="0" w:space="0" w:color="auto"/>
      </w:divBdr>
    </w:div>
    <w:div w:id="633100147">
      <w:bodyDiv w:val="1"/>
      <w:marLeft w:val="0"/>
      <w:marRight w:val="0"/>
      <w:marTop w:val="0"/>
      <w:marBottom w:val="0"/>
      <w:divBdr>
        <w:top w:val="none" w:sz="0" w:space="0" w:color="auto"/>
        <w:left w:val="none" w:sz="0" w:space="0" w:color="auto"/>
        <w:bottom w:val="none" w:sz="0" w:space="0" w:color="auto"/>
        <w:right w:val="none" w:sz="0" w:space="0" w:color="auto"/>
      </w:divBdr>
    </w:div>
    <w:div w:id="637684919">
      <w:bodyDiv w:val="1"/>
      <w:marLeft w:val="0"/>
      <w:marRight w:val="0"/>
      <w:marTop w:val="0"/>
      <w:marBottom w:val="0"/>
      <w:divBdr>
        <w:top w:val="none" w:sz="0" w:space="0" w:color="auto"/>
        <w:left w:val="none" w:sz="0" w:space="0" w:color="auto"/>
        <w:bottom w:val="none" w:sz="0" w:space="0" w:color="auto"/>
        <w:right w:val="none" w:sz="0" w:space="0" w:color="auto"/>
      </w:divBdr>
    </w:div>
    <w:div w:id="669405386">
      <w:bodyDiv w:val="1"/>
      <w:marLeft w:val="0"/>
      <w:marRight w:val="0"/>
      <w:marTop w:val="0"/>
      <w:marBottom w:val="0"/>
      <w:divBdr>
        <w:top w:val="none" w:sz="0" w:space="0" w:color="auto"/>
        <w:left w:val="none" w:sz="0" w:space="0" w:color="auto"/>
        <w:bottom w:val="none" w:sz="0" w:space="0" w:color="auto"/>
        <w:right w:val="none" w:sz="0" w:space="0" w:color="auto"/>
      </w:divBdr>
    </w:div>
    <w:div w:id="692272137">
      <w:bodyDiv w:val="1"/>
      <w:marLeft w:val="0"/>
      <w:marRight w:val="0"/>
      <w:marTop w:val="0"/>
      <w:marBottom w:val="0"/>
      <w:divBdr>
        <w:top w:val="none" w:sz="0" w:space="0" w:color="auto"/>
        <w:left w:val="none" w:sz="0" w:space="0" w:color="auto"/>
        <w:bottom w:val="none" w:sz="0" w:space="0" w:color="auto"/>
        <w:right w:val="none" w:sz="0" w:space="0" w:color="auto"/>
      </w:divBdr>
    </w:div>
    <w:div w:id="709038157">
      <w:bodyDiv w:val="1"/>
      <w:marLeft w:val="0"/>
      <w:marRight w:val="0"/>
      <w:marTop w:val="0"/>
      <w:marBottom w:val="0"/>
      <w:divBdr>
        <w:top w:val="none" w:sz="0" w:space="0" w:color="auto"/>
        <w:left w:val="none" w:sz="0" w:space="0" w:color="auto"/>
        <w:bottom w:val="none" w:sz="0" w:space="0" w:color="auto"/>
        <w:right w:val="none" w:sz="0" w:space="0" w:color="auto"/>
      </w:divBdr>
    </w:div>
    <w:div w:id="732889359">
      <w:bodyDiv w:val="1"/>
      <w:marLeft w:val="0"/>
      <w:marRight w:val="0"/>
      <w:marTop w:val="0"/>
      <w:marBottom w:val="0"/>
      <w:divBdr>
        <w:top w:val="none" w:sz="0" w:space="0" w:color="auto"/>
        <w:left w:val="none" w:sz="0" w:space="0" w:color="auto"/>
        <w:bottom w:val="none" w:sz="0" w:space="0" w:color="auto"/>
        <w:right w:val="none" w:sz="0" w:space="0" w:color="auto"/>
      </w:divBdr>
    </w:div>
    <w:div w:id="735132786">
      <w:bodyDiv w:val="1"/>
      <w:marLeft w:val="0"/>
      <w:marRight w:val="0"/>
      <w:marTop w:val="0"/>
      <w:marBottom w:val="0"/>
      <w:divBdr>
        <w:top w:val="none" w:sz="0" w:space="0" w:color="auto"/>
        <w:left w:val="none" w:sz="0" w:space="0" w:color="auto"/>
        <w:bottom w:val="none" w:sz="0" w:space="0" w:color="auto"/>
        <w:right w:val="none" w:sz="0" w:space="0" w:color="auto"/>
      </w:divBdr>
    </w:div>
    <w:div w:id="745154592">
      <w:bodyDiv w:val="1"/>
      <w:marLeft w:val="0"/>
      <w:marRight w:val="0"/>
      <w:marTop w:val="0"/>
      <w:marBottom w:val="0"/>
      <w:divBdr>
        <w:top w:val="none" w:sz="0" w:space="0" w:color="auto"/>
        <w:left w:val="none" w:sz="0" w:space="0" w:color="auto"/>
        <w:bottom w:val="none" w:sz="0" w:space="0" w:color="auto"/>
        <w:right w:val="none" w:sz="0" w:space="0" w:color="auto"/>
      </w:divBdr>
    </w:div>
    <w:div w:id="748579347">
      <w:bodyDiv w:val="1"/>
      <w:marLeft w:val="0"/>
      <w:marRight w:val="0"/>
      <w:marTop w:val="0"/>
      <w:marBottom w:val="0"/>
      <w:divBdr>
        <w:top w:val="none" w:sz="0" w:space="0" w:color="auto"/>
        <w:left w:val="none" w:sz="0" w:space="0" w:color="auto"/>
        <w:bottom w:val="none" w:sz="0" w:space="0" w:color="auto"/>
        <w:right w:val="none" w:sz="0" w:space="0" w:color="auto"/>
      </w:divBdr>
    </w:div>
    <w:div w:id="763651639">
      <w:bodyDiv w:val="1"/>
      <w:marLeft w:val="0"/>
      <w:marRight w:val="0"/>
      <w:marTop w:val="0"/>
      <w:marBottom w:val="0"/>
      <w:divBdr>
        <w:top w:val="none" w:sz="0" w:space="0" w:color="auto"/>
        <w:left w:val="none" w:sz="0" w:space="0" w:color="auto"/>
        <w:bottom w:val="none" w:sz="0" w:space="0" w:color="auto"/>
        <w:right w:val="none" w:sz="0" w:space="0" w:color="auto"/>
      </w:divBdr>
    </w:div>
    <w:div w:id="799961222">
      <w:bodyDiv w:val="1"/>
      <w:marLeft w:val="0"/>
      <w:marRight w:val="0"/>
      <w:marTop w:val="0"/>
      <w:marBottom w:val="0"/>
      <w:divBdr>
        <w:top w:val="none" w:sz="0" w:space="0" w:color="auto"/>
        <w:left w:val="none" w:sz="0" w:space="0" w:color="auto"/>
        <w:bottom w:val="none" w:sz="0" w:space="0" w:color="auto"/>
        <w:right w:val="none" w:sz="0" w:space="0" w:color="auto"/>
      </w:divBdr>
    </w:div>
    <w:div w:id="800224820">
      <w:bodyDiv w:val="1"/>
      <w:marLeft w:val="0"/>
      <w:marRight w:val="0"/>
      <w:marTop w:val="0"/>
      <w:marBottom w:val="0"/>
      <w:divBdr>
        <w:top w:val="none" w:sz="0" w:space="0" w:color="auto"/>
        <w:left w:val="none" w:sz="0" w:space="0" w:color="auto"/>
        <w:bottom w:val="none" w:sz="0" w:space="0" w:color="auto"/>
        <w:right w:val="none" w:sz="0" w:space="0" w:color="auto"/>
      </w:divBdr>
    </w:div>
    <w:div w:id="821700902">
      <w:bodyDiv w:val="1"/>
      <w:marLeft w:val="0"/>
      <w:marRight w:val="0"/>
      <w:marTop w:val="0"/>
      <w:marBottom w:val="0"/>
      <w:divBdr>
        <w:top w:val="none" w:sz="0" w:space="0" w:color="auto"/>
        <w:left w:val="none" w:sz="0" w:space="0" w:color="auto"/>
        <w:bottom w:val="none" w:sz="0" w:space="0" w:color="auto"/>
        <w:right w:val="none" w:sz="0" w:space="0" w:color="auto"/>
      </w:divBdr>
    </w:div>
    <w:div w:id="841432669">
      <w:bodyDiv w:val="1"/>
      <w:marLeft w:val="0"/>
      <w:marRight w:val="0"/>
      <w:marTop w:val="0"/>
      <w:marBottom w:val="0"/>
      <w:divBdr>
        <w:top w:val="none" w:sz="0" w:space="0" w:color="auto"/>
        <w:left w:val="none" w:sz="0" w:space="0" w:color="auto"/>
        <w:bottom w:val="none" w:sz="0" w:space="0" w:color="auto"/>
        <w:right w:val="none" w:sz="0" w:space="0" w:color="auto"/>
      </w:divBdr>
    </w:div>
    <w:div w:id="843974549">
      <w:bodyDiv w:val="1"/>
      <w:marLeft w:val="0"/>
      <w:marRight w:val="0"/>
      <w:marTop w:val="0"/>
      <w:marBottom w:val="0"/>
      <w:divBdr>
        <w:top w:val="none" w:sz="0" w:space="0" w:color="auto"/>
        <w:left w:val="none" w:sz="0" w:space="0" w:color="auto"/>
        <w:bottom w:val="none" w:sz="0" w:space="0" w:color="auto"/>
        <w:right w:val="none" w:sz="0" w:space="0" w:color="auto"/>
      </w:divBdr>
    </w:div>
    <w:div w:id="857886085">
      <w:bodyDiv w:val="1"/>
      <w:marLeft w:val="0"/>
      <w:marRight w:val="0"/>
      <w:marTop w:val="0"/>
      <w:marBottom w:val="0"/>
      <w:divBdr>
        <w:top w:val="none" w:sz="0" w:space="0" w:color="auto"/>
        <w:left w:val="none" w:sz="0" w:space="0" w:color="auto"/>
        <w:bottom w:val="none" w:sz="0" w:space="0" w:color="auto"/>
        <w:right w:val="none" w:sz="0" w:space="0" w:color="auto"/>
      </w:divBdr>
    </w:div>
    <w:div w:id="873008526">
      <w:bodyDiv w:val="1"/>
      <w:marLeft w:val="0"/>
      <w:marRight w:val="0"/>
      <w:marTop w:val="0"/>
      <w:marBottom w:val="0"/>
      <w:divBdr>
        <w:top w:val="none" w:sz="0" w:space="0" w:color="auto"/>
        <w:left w:val="none" w:sz="0" w:space="0" w:color="auto"/>
        <w:bottom w:val="none" w:sz="0" w:space="0" w:color="auto"/>
        <w:right w:val="none" w:sz="0" w:space="0" w:color="auto"/>
      </w:divBdr>
    </w:div>
    <w:div w:id="911815450">
      <w:bodyDiv w:val="1"/>
      <w:marLeft w:val="0"/>
      <w:marRight w:val="0"/>
      <w:marTop w:val="0"/>
      <w:marBottom w:val="0"/>
      <w:divBdr>
        <w:top w:val="none" w:sz="0" w:space="0" w:color="auto"/>
        <w:left w:val="none" w:sz="0" w:space="0" w:color="auto"/>
        <w:bottom w:val="none" w:sz="0" w:space="0" w:color="auto"/>
        <w:right w:val="none" w:sz="0" w:space="0" w:color="auto"/>
      </w:divBdr>
    </w:div>
    <w:div w:id="916012969">
      <w:bodyDiv w:val="1"/>
      <w:marLeft w:val="0"/>
      <w:marRight w:val="0"/>
      <w:marTop w:val="0"/>
      <w:marBottom w:val="0"/>
      <w:divBdr>
        <w:top w:val="none" w:sz="0" w:space="0" w:color="auto"/>
        <w:left w:val="none" w:sz="0" w:space="0" w:color="auto"/>
        <w:bottom w:val="none" w:sz="0" w:space="0" w:color="auto"/>
        <w:right w:val="none" w:sz="0" w:space="0" w:color="auto"/>
      </w:divBdr>
    </w:div>
    <w:div w:id="938219647">
      <w:bodyDiv w:val="1"/>
      <w:marLeft w:val="0"/>
      <w:marRight w:val="0"/>
      <w:marTop w:val="0"/>
      <w:marBottom w:val="0"/>
      <w:divBdr>
        <w:top w:val="none" w:sz="0" w:space="0" w:color="auto"/>
        <w:left w:val="none" w:sz="0" w:space="0" w:color="auto"/>
        <w:bottom w:val="none" w:sz="0" w:space="0" w:color="auto"/>
        <w:right w:val="none" w:sz="0" w:space="0" w:color="auto"/>
      </w:divBdr>
    </w:div>
    <w:div w:id="977995438">
      <w:bodyDiv w:val="1"/>
      <w:marLeft w:val="0"/>
      <w:marRight w:val="0"/>
      <w:marTop w:val="0"/>
      <w:marBottom w:val="0"/>
      <w:divBdr>
        <w:top w:val="none" w:sz="0" w:space="0" w:color="auto"/>
        <w:left w:val="none" w:sz="0" w:space="0" w:color="auto"/>
        <w:bottom w:val="none" w:sz="0" w:space="0" w:color="auto"/>
        <w:right w:val="none" w:sz="0" w:space="0" w:color="auto"/>
      </w:divBdr>
    </w:div>
    <w:div w:id="983780846">
      <w:bodyDiv w:val="1"/>
      <w:marLeft w:val="0"/>
      <w:marRight w:val="0"/>
      <w:marTop w:val="0"/>
      <w:marBottom w:val="0"/>
      <w:divBdr>
        <w:top w:val="none" w:sz="0" w:space="0" w:color="auto"/>
        <w:left w:val="none" w:sz="0" w:space="0" w:color="auto"/>
        <w:bottom w:val="none" w:sz="0" w:space="0" w:color="auto"/>
        <w:right w:val="none" w:sz="0" w:space="0" w:color="auto"/>
      </w:divBdr>
    </w:div>
    <w:div w:id="1007562956">
      <w:bodyDiv w:val="1"/>
      <w:marLeft w:val="0"/>
      <w:marRight w:val="0"/>
      <w:marTop w:val="0"/>
      <w:marBottom w:val="0"/>
      <w:divBdr>
        <w:top w:val="none" w:sz="0" w:space="0" w:color="auto"/>
        <w:left w:val="none" w:sz="0" w:space="0" w:color="auto"/>
        <w:bottom w:val="none" w:sz="0" w:space="0" w:color="auto"/>
        <w:right w:val="none" w:sz="0" w:space="0" w:color="auto"/>
      </w:divBdr>
    </w:div>
    <w:div w:id="1048607362">
      <w:bodyDiv w:val="1"/>
      <w:marLeft w:val="0"/>
      <w:marRight w:val="0"/>
      <w:marTop w:val="0"/>
      <w:marBottom w:val="0"/>
      <w:divBdr>
        <w:top w:val="none" w:sz="0" w:space="0" w:color="auto"/>
        <w:left w:val="none" w:sz="0" w:space="0" w:color="auto"/>
        <w:bottom w:val="none" w:sz="0" w:space="0" w:color="auto"/>
        <w:right w:val="none" w:sz="0" w:space="0" w:color="auto"/>
      </w:divBdr>
    </w:div>
    <w:div w:id="1063333083">
      <w:bodyDiv w:val="1"/>
      <w:marLeft w:val="0"/>
      <w:marRight w:val="0"/>
      <w:marTop w:val="0"/>
      <w:marBottom w:val="0"/>
      <w:divBdr>
        <w:top w:val="none" w:sz="0" w:space="0" w:color="auto"/>
        <w:left w:val="none" w:sz="0" w:space="0" w:color="auto"/>
        <w:bottom w:val="none" w:sz="0" w:space="0" w:color="auto"/>
        <w:right w:val="none" w:sz="0" w:space="0" w:color="auto"/>
      </w:divBdr>
    </w:div>
    <w:div w:id="1086417481">
      <w:bodyDiv w:val="1"/>
      <w:marLeft w:val="0"/>
      <w:marRight w:val="0"/>
      <w:marTop w:val="0"/>
      <w:marBottom w:val="0"/>
      <w:divBdr>
        <w:top w:val="none" w:sz="0" w:space="0" w:color="auto"/>
        <w:left w:val="none" w:sz="0" w:space="0" w:color="auto"/>
        <w:bottom w:val="none" w:sz="0" w:space="0" w:color="auto"/>
        <w:right w:val="none" w:sz="0" w:space="0" w:color="auto"/>
      </w:divBdr>
    </w:div>
    <w:div w:id="1120151765">
      <w:bodyDiv w:val="1"/>
      <w:marLeft w:val="0"/>
      <w:marRight w:val="0"/>
      <w:marTop w:val="0"/>
      <w:marBottom w:val="0"/>
      <w:divBdr>
        <w:top w:val="none" w:sz="0" w:space="0" w:color="auto"/>
        <w:left w:val="none" w:sz="0" w:space="0" w:color="auto"/>
        <w:bottom w:val="none" w:sz="0" w:space="0" w:color="auto"/>
        <w:right w:val="none" w:sz="0" w:space="0" w:color="auto"/>
      </w:divBdr>
    </w:div>
    <w:div w:id="1131902756">
      <w:bodyDiv w:val="1"/>
      <w:marLeft w:val="0"/>
      <w:marRight w:val="0"/>
      <w:marTop w:val="0"/>
      <w:marBottom w:val="0"/>
      <w:divBdr>
        <w:top w:val="none" w:sz="0" w:space="0" w:color="auto"/>
        <w:left w:val="none" w:sz="0" w:space="0" w:color="auto"/>
        <w:bottom w:val="none" w:sz="0" w:space="0" w:color="auto"/>
        <w:right w:val="none" w:sz="0" w:space="0" w:color="auto"/>
      </w:divBdr>
    </w:div>
    <w:div w:id="1144002752">
      <w:bodyDiv w:val="1"/>
      <w:marLeft w:val="0"/>
      <w:marRight w:val="0"/>
      <w:marTop w:val="0"/>
      <w:marBottom w:val="0"/>
      <w:divBdr>
        <w:top w:val="none" w:sz="0" w:space="0" w:color="auto"/>
        <w:left w:val="none" w:sz="0" w:space="0" w:color="auto"/>
        <w:bottom w:val="none" w:sz="0" w:space="0" w:color="auto"/>
        <w:right w:val="none" w:sz="0" w:space="0" w:color="auto"/>
      </w:divBdr>
    </w:div>
    <w:div w:id="1157377968">
      <w:bodyDiv w:val="1"/>
      <w:marLeft w:val="0"/>
      <w:marRight w:val="0"/>
      <w:marTop w:val="0"/>
      <w:marBottom w:val="0"/>
      <w:divBdr>
        <w:top w:val="none" w:sz="0" w:space="0" w:color="auto"/>
        <w:left w:val="none" w:sz="0" w:space="0" w:color="auto"/>
        <w:bottom w:val="none" w:sz="0" w:space="0" w:color="auto"/>
        <w:right w:val="none" w:sz="0" w:space="0" w:color="auto"/>
      </w:divBdr>
    </w:div>
    <w:div w:id="1159619816">
      <w:bodyDiv w:val="1"/>
      <w:marLeft w:val="0"/>
      <w:marRight w:val="0"/>
      <w:marTop w:val="0"/>
      <w:marBottom w:val="0"/>
      <w:divBdr>
        <w:top w:val="none" w:sz="0" w:space="0" w:color="auto"/>
        <w:left w:val="none" w:sz="0" w:space="0" w:color="auto"/>
        <w:bottom w:val="none" w:sz="0" w:space="0" w:color="auto"/>
        <w:right w:val="none" w:sz="0" w:space="0" w:color="auto"/>
      </w:divBdr>
    </w:div>
    <w:div w:id="1161040714">
      <w:bodyDiv w:val="1"/>
      <w:marLeft w:val="0"/>
      <w:marRight w:val="0"/>
      <w:marTop w:val="0"/>
      <w:marBottom w:val="0"/>
      <w:divBdr>
        <w:top w:val="none" w:sz="0" w:space="0" w:color="auto"/>
        <w:left w:val="none" w:sz="0" w:space="0" w:color="auto"/>
        <w:bottom w:val="none" w:sz="0" w:space="0" w:color="auto"/>
        <w:right w:val="none" w:sz="0" w:space="0" w:color="auto"/>
      </w:divBdr>
    </w:div>
    <w:div w:id="1180973783">
      <w:bodyDiv w:val="1"/>
      <w:marLeft w:val="0"/>
      <w:marRight w:val="0"/>
      <w:marTop w:val="0"/>
      <w:marBottom w:val="0"/>
      <w:divBdr>
        <w:top w:val="none" w:sz="0" w:space="0" w:color="auto"/>
        <w:left w:val="none" w:sz="0" w:space="0" w:color="auto"/>
        <w:bottom w:val="none" w:sz="0" w:space="0" w:color="auto"/>
        <w:right w:val="none" w:sz="0" w:space="0" w:color="auto"/>
      </w:divBdr>
    </w:div>
    <w:div w:id="1181313824">
      <w:bodyDiv w:val="1"/>
      <w:marLeft w:val="0"/>
      <w:marRight w:val="0"/>
      <w:marTop w:val="0"/>
      <w:marBottom w:val="0"/>
      <w:divBdr>
        <w:top w:val="none" w:sz="0" w:space="0" w:color="auto"/>
        <w:left w:val="none" w:sz="0" w:space="0" w:color="auto"/>
        <w:bottom w:val="none" w:sz="0" w:space="0" w:color="auto"/>
        <w:right w:val="none" w:sz="0" w:space="0" w:color="auto"/>
      </w:divBdr>
    </w:div>
    <w:div w:id="1187712327">
      <w:bodyDiv w:val="1"/>
      <w:marLeft w:val="0"/>
      <w:marRight w:val="0"/>
      <w:marTop w:val="0"/>
      <w:marBottom w:val="0"/>
      <w:divBdr>
        <w:top w:val="none" w:sz="0" w:space="0" w:color="auto"/>
        <w:left w:val="none" w:sz="0" w:space="0" w:color="auto"/>
        <w:bottom w:val="none" w:sz="0" w:space="0" w:color="auto"/>
        <w:right w:val="none" w:sz="0" w:space="0" w:color="auto"/>
      </w:divBdr>
    </w:div>
    <w:div w:id="1187792677">
      <w:bodyDiv w:val="1"/>
      <w:marLeft w:val="0"/>
      <w:marRight w:val="0"/>
      <w:marTop w:val="0"/>
      <w:marBottom w:val="0"/>
      <w:divBdr>
        <w:top w:val="none" w:sz="0" w:space="0" w:color="auto"/>
        <w:left w:val="none" w:sz="0" w:space="0" w:color="auto"/>
        <w:bottom w:val="none" w:sz="0" w:space="0" w:color="auto"/>
        <w:right w:val="none" w:sz="0" w:space="0" w:color="auto"/>
      </w:divBdr>
    </w:div>
    <w:div w:id="1196385645">
      <w:bodyDiv w:val="1"/>
      <w:marLeft w:val="0"/>
      <w:marRight w:val="0"/>
      <w:marTop w:val="0"/>
      <w:marBottom w:val="0"/>
      <w:divBdr>
        <w:top w:val="none" w:sz="0" w:space="0" w:color="auto"/>
        <w:left w:val="none" w:sz="0" w:space="0" w:color="auto"/>
        <w:bottom w:val="none" w:sz="0" w:space="0" w:color="auto"/>
        <w:right w:val="none" w:sz="0" w:space="0" w:color="auto"/>
      </w:divBdr>
    </w:div>
    <w:div w:id="1205754773">
      <w:bodyDiv w:val="1"/>
      <w:marLeft w:val="0"/>
      <w:marRight w:val="0"/>
      <w:marTop w:val="0"/>
      <w:marBottom w:val="0"/>
      <w:divBdr>
        <w:top w:val="none" w:sz="0" w:space="0" w:color="auto"/>
        <w:left w:val="none" w:sz="0" w:space="0" w:color="auto"/>
        <w:bottom w:val="none" w:sz="0" w:space="0" w:color="auto"/>
        <w:right w:val="none" w:sz="0" w:space="0" w:color="auto"/>
      </w:divBdr>
    </w:div>
    <w:div w:id="1214853338">
      <w:bodyDiv w:val="1"/>
      <w:marLeft w:val="0"/>
      <w:marRight w:val="0"/>
      <w:marTop w:val="0"/>
      <w:marBottom w:val="0"/>
      <w:divBdr>
        <w:top w:val="none" w:sz="0" w:space="0" w:color="auto"/>
        <w:left w:val="none" w:sz="0" w:space="0" w:color="auto"/>
        <w:bottom w:val="none" w:sz="0" w:space="0" w:color="auto"/>
        <w:right w:val="none" w:sz="0" w:space="0" w:color="auto"/>
      </w:divBdr>
    </w:div>
    <w:div w:id="1231963325">
      <w:bodyDiv w:val="1"/>
      <w:marLeft w:val="0"/>
      <w:marRight w:val="0"/>
      <w:marTop w:val="0"/>
      <w:marBottom w:val="0"/>
      <w:divBdr>
        <w:top w:val="none" w:sz="0" w:space="0" w:color="auto"/>
        <w:left w:val="none" w:sz="0" w:space="0" w:color="auto"/>
        <w:bottom w:val="none" w:sz="0" w:space="0" w:color="auto"/>
        <w:right w:val="none" w:sz="0" w:space="0" w:color="auto"/>
      </w:divBdr>
    </w:div>
    <w:div w:id="1255163111">
      <w:bodyDiv w:val="1"/>
      <w:marLeft w:val="0"/>
      <w:marRight w:val="0"/>
      <w:marTop w:val="0"/>
      <w:marBottom w:val="0"/>
      <w:divBdr>
        <w:top w:val="none" w:sz="0" w:space="0" w:color="auto"/>
        <w:left w:val="none" w:sz="0" w:space="0" w:color="auto"/>
        <w:bottom w:val="none" w:sz="0" w:space="0" w:color="auto"/>
        <w:right w:val="none" w:sz="0" w:space="0" w:color="auto"/>
      </w:divBdr>
    </w:div>
    <w:div w:id="1258250300">
      <w:bodyDiv w:val="1"/>
      <w:marLeft w:val="0"/>
      <w:marRight w:val="0"/>
      <w:marTop w:val="0"/>
      <w:marBottom w:val="0"/>
      <w:divBdr>
        <w:top w:val="none" w:sz="0" w:space="0" w:color="auto"/>
        <w:left w:val="none" w:sz="0" w:space="0" w:color="auto"/>
        <w:bottom w:val="none" w:sz="0" w:space="0" w:color="auto"/>
        <w:right w:val="none" w:sz="0" w:space="0" w:color="auto"/>
      </w:divBdr>
    </w:div>
    <w:div w:id="1262446505">
      <w:bodyDiv w:val="1"/>
      <w:marLeft w:val="0"/>
      <w:marRight w:val="0"/>
      <w:marTop w:val="0"/>
      <w:marBottom w:val="0"/>
      <w:divBdr>
        <w:top w:val="none" w:sz="0" w:space="0" w:color="auto"/>
        <w:left w:val="none" w:sz="0" w:space="0" w:color="auto"/>
        <w:bottom w:val="none" w:sz="0" w:space="0" w:color="auto"/>
        <w:right w:val="none" w:sz="0" w:space="0" w:color="auto"/>
      </w:divBdr>
    </w:div>
    <w:div w:id="1263340669">
      <w:bodyDiv w:val="1"/>
      <w:marLeft w:val="0"/>
      <w:marRight w:val="0"/>
      <w:marTop w:val="0"/>
      <w:marBottom w:val="0"/>
      <w:divBdr>
        <w:top w:val="none" w:sz="0" w:space="0" w:color="auto"/>
        <w:left w:val="none" w:sz="0" w:space="0" w:color="auto"/>
        <w:bottom w:val="none" w:sz="0" w:space="0" w:color="auto"/>
        <w:right w:val="none" w:sz="0" w:space="0" w:color="auto"/>
      </w:divBdr>
    </w:div>
    <w:div w:id="1299413198">
      <w:bodyDiv w:val="1"/>
      <w:marLeft w:val="0"/>
      <w:marRight w:val="0"/>
      <w:marTop w:val="0"/>
      <w:marBottom w:val="0"/>
      <w:divBdr>
        <w:top w:val="none" w:sz="0" w:space="0" w:color="auto"/>
        <w:left w:val="none" w:sz="0" w:space="0" w:color="auto"/>
        <w:bottom w:val="none" w:sz="0" w:space="0" w:color="auto"/>
        <w:right w:val="none" w:sz="0" w:space="0" w:color="auto"/>
      </w:divBdr>
    </w:div>
    <w:div w:id="1324428788">
      <w:bodyDiv w:val="1"/>
      <w:marLeft w:val="0"/>
      <w:marRight w:val="0"/>
      <w:marTop w:val="0"/>
      <w:marBottom w:val="0"/>
      <w:divBdr>
        <w:top w:val="none" w:sz="0" w:space="0" w:color="auto"/>
        <w:left w:val="none" w:sz="0" w:space="0" w:color="auto"/>
        <w:bottom w:val="none" w:sz="0" w:space="0" w:color="auto"/>
        <w:right w:val="none" w:sz="0" w:space="0" w:color="auto"/>
      </w:divBdr>
    </w:div>
    <w:div w:id="1326318438">
      <w:bodyDiv w:val="1"/>
      <w:marLeft w:val="0"/>
      <w:marRight w:val="0"/>
      <w:marTop w:val="0"/>
      <w:marBottom w:val="0"/>
      <w:divBdr>
        <w:top w:val="none" w:sz="0" w:space="0" w:color="auto"/>
        <w:left w:val="none" w:sz="0" w:space="0" w:color="auto"/>
        <w:bottom w:val="none" w:sz="0" w:space="0" w:color="auto"/>
        <w:right w:val="none" w:sz="0" w:space="0" w:color="auto"/>
      </w:divBdr>
    </w:div>
    <w:div w:id="1331640469">
      <w:bodyDiv w:val="1"/>
      <w:marLeft w:val="0"/>
      <w:marRight w:val="0"/>
      <w:marTop w:val="0"/>
      <w:marBottom w:val="0"/>
      <w:divBdr>
        <w:top w:val="none" w:sz="0" w:space="0" w:color="auto"/>
        <w:left w:val="none" w:sz="0" w:space="0" w:color="auto"/>
        <w:bottom w:val="none" w:sz="0" w:space="0" w:color="auto"/>
        <w:right w:val="none" w:sz="0" w:space="0" w:color="auto"/>
      </w:divBdr>
    </w:div>
    <w:div w:id="1334147539">
      <w:bodyDiv w:val="1"/>
      <w:marLeft w:val="0"/>
      <w:marRight w:val="0"/>
      <w:marTop w:val="0"/>
      <w:marBottom w:val="0"/>
      <w:divBdr>
        <w:top w:val="none" w:sz="0" w:space="0" w:color="auto"/>
        <w:left w:val="none" w:sz="0" w:space="0" w:color="auto"/>
        <w:bottom w:val="none" w:sz="0" w:space="0" w:color="auto"/>
        <w:right w:val="none" w:sz="0" w:space="0" w:color="auto"/>
      </w:divBdr>
    </w:div>
    <w:div w:id="1345590096">
      <w:bodyDiv w:val="1"/>
      <w:marLeft w:val="0"/>
      <w:marRight w:val="0"/>
      <w:marTop w:val="0"/>
      <w:marBottom w:val="0"/>
      <w:divBdr>
        <w:top w:val="none" w:sz="0" w:space="0" w:color="auto"/>
        <w:left w:val="none" w:sz="0" w:space="0" w:color="auto"/>
        <w:bottom w:val="none" w:sz="0" w:space="0" w:color="auto"/>
        <w:right w:val="none" w:sz="0" w:space="0" w:color="auto"/>
      </w:divBdr>
    </w:div>
    <w:div w:id="1357926062">
      <w:bodyDiv w:val="1"/>
      <w:marLeft w:val="0"/>
      <w:marRight w:val="0"/>
      <w:marTop w:val="0"/>
      <w:marBottom w:val="0"/>
      <w:divBdr>
        <w:top w:val="none" w:sz="0" w:space="0" w:color="auto"/>
        <w:left w:val="none" w:sz="0" w:space="0" w:color="auto"/>
        <w:bottom w:val="none" w:sz="0" w:space="0" w:color="auto"/>
        <w:right w:val="none" w:sz="0" w:space="0" w:color="auto"/>
      </w:divBdr>
    </w:div>
    <w:div w:id="1362246661">
      <w:bodyDiv w:val="1"/>
      <w:marLeft w:val="0"/>
      <w:marRight w:val="0"/>
      <w:marTop w:val="0"/>
      <w:marBottom w:val="0"/>
      <w:divBdr>
        <w:top w:val="none" w:sz="0" w:space="0" w:color="auto"/>
        <w:left w:val="none" w:sz="0" w:space="0" w:color="auto"/>
        <w:bottom w:val="none" w:sz="0" w:space="0" w:color="auto"/>
        <w:right w:val="none" w:sz="0" w:space="0" w:color="auto"/>
      </w:divBdr>
    </w:div>
    <w:div w:id="1373966592">
      <w:bodyDiv w:val="1"/>
      <w:marLeft w:val="0"/>
      <w:marRight w:val="0"/>
      <w:marTop w:val="0"/>
      <w:marBottom w:val="0"/>
      <w:divBdr>
        <w:top w:val="none" w:sz="0" w:space="0" w:color="auto"/>
        <w:left w:val="none" w:sz="0" w:space="0" w:color="auto"/>
        <w:bottom w:val="none" w:sz="0" w:space="0" w:color="auto"/>
        <w:right w:val="none" w:sz="0" w:space="0" w:color="auto"/>
      </w:divBdr>
    </w:div>
    <w:div w:id="1394229951">
      <w:bodyDiv w:val="1"/>
      <w:marLeft w:val="0"/>
      <w:marRight w:val="0"/>
      <w:marTop w:val="0"/>
      <w:marBottom w:val="0"/>
      <w:divBdr>
        <w:top w:val="none" w:sz="0" w:space="0" w:color="auto"/>
        <w:left w:val="none" w:sz="0" w:space="0" w:color="auto"/>
        <w:bottom w:val="none" w:sz="0" w:space="0" w:color="auto"/>
        <w:right w:val="none" w:sz="0" w:space="0" w:color="auto"/>
      </w:divBdr>
    </w:div>
    <w:div w:id="1413578707">
      <w:bodyDiv w:val="1"/>
      <w:marLeft w:val="0"/>
      <w:marRight w:val="0"/>
      <w:marTop w:val="0"/>
      <w:marBottom w:val="0"/>
      <w:divBdr>
        <w:top w:val="none" w:sz="0" w:space="0" w:color="auto"/>
        <w:left w:val="none" w:sz="0" w:space="0" w:color="auto"/>
        <w:bottom w:val="none" w:sz="0" w:space="0" w:color="auto"/>
        <w:right w:val="none" w:sz="0" w:space="0" w:color="auto"/>
      </w:divBdr>
    </w:div>
    <w:div w:id="1415975535">
      <w:bodyDiv w:val="1"/>
      <w:marLeft w:val="0"/>
      <w:marRight w:val="0"/>
      <w:marTop w:val="0"/>
      <w:marBottom w:val="0"/>
      <w:divBdr>
        <w:top w:val="none" w:sz="0" w:space="0" w:color="auto"/>
        <w:left w:val="none" w:sz="0" w:space="0" w:color="auto"/>
        <w:bottom w:val="none" w:sz="0" w:space="0" w:color="auto"/>
        <w:right w:val="none" w:sz="0" w:space="0" w:color="auto"/>
      </w:divBdr>
    </w:div>
    <w:div w:id="1434473063">
      <w:bodyDiv w:val="1"/>
      <w:marLeft w:val="0"/>
      <w:marRight w:val="0"/>
      <w:marTop w:val="0"/>
      <w:marBottom w:val="0"/>
      <w:divBdr>
        <w:top w:val="none" w:sz="0" w:space="0" w:color="auto"/>
        <w:left w:val="none" w:sz="0" w:space="0" w:color="auto"/>
        <w:bottom w:val="none" w:sz="0" w:space="0" w:color="auto"/>
        <w:right w:val="none" w:sz="0" w:space="0" w:color="auto"/>
      </w:divBdr>
    </w:div>
    <w:div w:id="1435129603">
      <w:bodyDiv w:val="1"/>
      <w:marLeft w:val="0"/>
      <w:marRight w:val="0"/>
      <w:marTop w:val="0"/>
      <w:marBottom w:val="0"/>
      <w:divBdr>
        <w:top w:val="none" w:sz="0" w:space="0" w:color="auto"/>
        <w:left w:val="none" w:sz="0" w:space="0" w:color="auto"/>
        <w:bottom w:val="none" w:sz="0" w:space="0" w:color="auto"/>
        <w:right w:val="none" w:sz="0" w:space="0" w:color="auto"/>
      </w:divBdr>
    </w:div>
    <w:div w:id="1437948033">
      <w:bodyDiv w:val="1"/>
      <w:marLeft w:val="0"/>
      <w:marRight w:val="0"/>
      <w:marTop w:val="0"/>
      <w:marBottom w:val="0"/>
      <w:divBdr>
        <w:top w:val="none" w:sz="0" w:space="0" w:color="auto"/>
        <w:left w:val="none" w:sz="0" w:space="0" w:color="auto"/>
        <w:bottom w:val="none" w:sz="0" w:space="0" w:color="auto"/>
        <w:right w:val="none" w:sz="0" w:space="0" w:color="auto"/>
      </w:divBdr>
    </w:div>
    <w:div w:id="1440637151">
      <w:bodyDiv w:val="1"/>
      <w:marLeft w:val="0"/>
      <w:marRight w:val="0"/>
      <w:marTop w:val="0"/>
      <w:marBottom w:val="0"/>
      <w:divBdr>
        <w:top w:val="none" w:sz="0" w:space="0" w:color="auto"/>
        <w:left w:val="none" w:sz="0" w:space="0" w:color="auto"/>
        <w:bottom w:val="none" w:sz="0" w:space="0" w:color="auto"/>
        <w:right w:val="none" w:sz="0" w:space="0" w:color="auto"/>
      </w:divBdr>
    </w:div>
    <w:div w:id="1459252971">
      <w:bodyDiv w:val="1"/>
      <w:marLeft w:val="0"/>
      <w:marRight w:val="0"/>
      <w:marTop w:val="0"/>
      <w:marBottom w:val="0"/>
      <w:divBdr>
        <w:top w:val="none" w:sz="0" w:space="0" w:color="auto"/>
        <w:left w:val="none" w:sz="0" w:space="0" w:color="auto"/>
        <w:bottom w:val="none" w:sz="0" w:space="0" w:color="auto"/>
        <w:right w:val="none" w:sz="0" w:space="0" w:color="auto"/>
      </w:divBdr>
    </w:div>
    <w:div w:id="1470124062">
      <w:bodyDiv w:val="1"/>
      <w:marLeft w:val="0"/>
      <w:marRight w:val="0"/>
      <w:marTop w:val="0"/>
      <w:marBottom w:val="0"/>
      <w:divBdr>
        <w:top w:val="none" w:sz="0" w:space="0" w:color="auto"/>
        <w:left w:val="none" w:sz="0" w:space="0" w:color="auto"/>
        <w:bottom w:val="none" w:sz="0" w:space="0" w:color="auto"/>
        <w:right w:val="none" w:sz="0" w:space="0" w:color="auto"/>
      </w:divBdr>
    </w:div>
    <w:div w:id="1489831103">
      <w:bodyDiv w:val="1"/>
      <w:marLeft w:val="0"/>
      <w:marRight w:val="0"/>
      <w:marTop w:val="0"/>
      <w:marBottom w:val="0"/>
      <w:divBdr>
        <w:top w:val="none" w:sz="0" w:space="0" w:color="auto"/>
        <w:left w:val="none" w:sz="0" w:space="0" w:color="auto"/>
        <w:bottom w:val="none" w:sz="0" w:space="0" w:color="auto"/>
        <w:right w:val="none" w:sz="0" w:space="0" w:color="auto"/>
      </w:divBdr>
    </w:div>
    <w:div w:id="1503815825">
      <w:bodyDiv w:val="1"/>
      <w:marLeft w:val="0"/>
      <w:marRight w:val="0"/>
      <w:marTop w:val="0"/>
      <w:marBottom w:val="0"/>
      <w:divBdr>
        <w:top w:val="none" w:sz="0" w:space="0" w:color="auto"/>
        <w:left w:val="none" w:sz="0" w:space="0" w:color="auto"/>
        <w:bottom w:val="none" w:sz="0" w:space="0" w:color="auto"/>
        <w:right w:val="none" w:sz="0" w:space="0" w:color="auto"/>
      </w:divBdr>
    </w:div>
    <w:div w:id="1507282071">
      <w:bodyDiv w:val="1"/>
      <w:marLeft w:val="0"/>
      <w:marRight w:val="0"/>
      <w:marTop w:val="0"/>
      <w:marBottom w:val="0"/>
      <w:divBdr>
        <w:top w:val="none" w:sz="0" w:space="0" w:color="auto"/>
        <w:left w:val="none" w:sz="0" w:space="0" w:color="auto"/>
        <w:bottom w:val="none" w:sz="0" w:space="0" w:color="auto"/>
        <w:right w:val="none" w:sz="0" w:space="0" w:color="auto"/>
      </w:divBdr>
    </w:div>
    <w:div w:id="1529217312">
      <w:bodyDiv w:val="1"/>
      <w:marLeft w:val="0"/>
      <w:marRight w:val="0"/>
      <w:marTop w:val="0"/>
      <w:marBottom w:val="0"/>
      <w:divBdr>
        <w:top w:val="none" w:sz="0" w:space="0" w:color="auto"/>
        <w:left w:val="none" w:sz="0" w:space="0" w:color="auto"/>
        <w:bottom w:val="none" w:sz="0" w:space="0" w:color="auto"/>
        <w:right w:val="none" w:sz="0" w:space="0" w:color="auto"/>
      </w:divBdr>
    </w:div>
    <w:div w:id="1535116207">
      <w:bodyDiv w:val="1"/>
      <w:marLeft w:val="0"/>
      <w:marRight w:val="0"/>
      <w:marTop w:val="0"/>
      <w:marBottom w:val="0"/>
      <w:divBdr>
        <w:top w:val="none" w:sz="0" w:space="0" w:color="auto"/>
        <w:left w:val="none" w:sz="0" w:space="0" w:color="auto"/>
        <w:bottom w:val="none" w:sz="0" w:space="0" w:color="auto"/>
        <w:right w:val="none" w:sz="0" w:space="0" w:color="auto"/>
      </w:divBdr>
    </w:div>
    <w:div w:id="1540360379">
      <w:bodyDiv w:val="1"/>
      <w:marLeft w:val="0"/>
      <w:marRight w:val="0"/>
      <w:marTop w:val="0"/>
      <w:marBottom w:val="0"/>
      <w:divBdr>
        <w:top w:val="none" w:sz="0" w:space="0" w:color="auto"/>
        <w:left w:val="none" w:sz="0" w:space="0" w:color="auto"/>
        <w:bottom w:val="none" w:sz="0" w:space="0" w:color="auto"/>
        <w:right w:val="none" w:sz="0" w:space="0" w:color="auto"/>
      </w:divBdr>
    </w:div>
    <w:div w:id="1549032479">
      <w:bodyDiv w:val="1"/>
      <w:marLeft w:val="0"/>
      <w:marRight w:val="0"/>
      <w:marTop w:val="0"/>
      <w:marBottom w:val="0"/>
      <w:divBdr>
        <w:top w:val="none" w:sz="0" w:space="0" w:color="auto"/>
        <w:left w:val="none" w:sz="0" w:space="0" w:color="auto"/>
        <w:bottom w:val="none" w:sz="0" w:space="0" w:color="auto"/>
        <w:right w:val="none" w:sz="0" w:space="0" w:color="auto"/>
      </w:divBdr>
    </w:div>
    <w:div w:id="1561793682">
      <w:bodyDiv w:val="1"/>
      <w:marLeft w:val="0"/>
      <w:marRight w:val="0"/>
      <w:marTop w:val="0"/>
      <w:marBottom w:val="0"/>
      <w:divBdr>
        <w:top w:val="none" w:sz="0" w:space="0" w:color="auto"/>
        <w:left w:val="none" w:sz="0" w:space="0" w:color="auto"/>
        <w:bottom w:val="none" w:sz="0" w:space="0" w:color="auto"/>
        <w:right w:val="none" w:sz="0" w:space="0" w:color="auto"/>
      </w:divBdr>
    </w:div>
    <w:div w:id="1562325739">
      <w:bodyDiv w:val="1"/>
      <w:marLeft w:val="0"/>
      <w:marRight w:val="0"/>
      <w:marTop w:val="0"/>
      <w:marBottom w:val="0"/>
      <w:divBdr>
        <w:top w:val="none" w:sz="0" w:space="0" w:color="auto"/>
        <w:left w:val="none" w:sz="0" w:space="0" w:color="auto"/>
        <w:bottom w:val="none" w:sz="0" w:space="0" w:color="auto"/>
        <w:right w:val="none" w:sz="0" w:space="0" w:color="auto"/>
      </w:divBdr>
    </w:div>
    <w:div w:id="1573852460">
      <w:bodyDiv w:val="1"/>
      <w:marLeft w:val="0"/>
      <w:marRight w:val="0"/>
      <w:marTop w:val="0"/>
      <w:marBottom w:val="0"/>
      <w:divBdr>
        <w:top w:val="none" w:sz="0" w:space="0" w:color="auto"/>
        <w:left w:val="none" w:sz="0" w:space="0" w:color="auto"/>
        <w:bottom w:val="none" w:sz="0" w:space="0" w:color="auto"/>
        <w:right w:val="none" w:sz="0" w:space="0" w:color="auto"/>
      </w:divBdr>
    </w:div>
    <w:div w:id="1574730201">
      <w:bodyDiv w:val="1"/>
      <w:marLeft w:val="0"/>
      <w:marRight w:val="0"/>
      <w:marTop w:val="0"/>
      <w:marBottom w:val="0"/>
      <w:divBdr>
        <w:top w:val="none" w:sz="0" w:space="0" w:color="auto"/>
        <w:left w:val="none" w:sz="0" w:space="0" w:color="auto"/>
        <w:bottom w:val="none" w:sz="0" w:space="0" w:color="auto"/>
        <w:right w:val="none" w:sz="0" w:space="0" w:color="auto"/>
      </w:divBdr>
    </w:div>
    <w:div w:id="1575433746">
      <w:bodyDiv w:val="1"/>
      <w:marLeft w:val="0"/>
      <w:marRight w:val="0"/>
      <w:marTop w:val="0"/>
      <w:marBottom w:val="0"/>
      <w:divBdr>
        <w:top w:val="none" w:sz="0" w:space="0" w:color="auto"/>
        <w:left w:val="none" w:sz="0" w:space="0" w:color="auto"/>
        <w:bottom w:val="none" w:sz="0" w:space="0" w:color="auto"/>
        <w:right w:val="none" w:sz="0" w:space="0" w:color="auto"/>
      </w:divBdr>
    </w:div>
    <w:div w:id="1597788598">
      <w:bodyDiv w:val="1"/>
      <w:marLeft w:val="0"/>
      <w:marRight w:val="0"/>
      <w:marTop w:val="0"/>
      <w:marBottom w:val="0"/>
      <w:divBdr>
        <w:top w:val="none" w:sz="0" w:space="0" w:color="auto"/>
        <w:left w:val="none" w:sz="0" w:space="0" w:color="auto"/>
        <w:bottom w:val="none" w:sz="0" w:space="0" w:color="auto"/>
        <w:right w:val="none" w:sz="0" w:space="0" w:color="auto"/>
      </w:divBdr>
    </w:div>
    <w:div w:id="1646396817">
      <w:bodyDiv w:val="1"/>
      <w:marLeft w:val="0"/>
      <w:marRight w:val="0"/>
      <w:marTop w:val="0"/>
      <w:marBottom w:val="0"/>
      <w:divBdr>
        <w:top w:val="none" w:sz="0" w:space="0" w:color="auto"/>
        <w:left w:val="none" w:sz="0" w:space="0" w:color="auto"/>
        <w:bottom w:val="none" w:sz="0" w:space="0" w:color="auto"/>
        <w:right w:val="none" w:sz="0" w:space="0" w:color="auto"/>
      </w:divBdr>
    </w:div>
    <w:div w:id="1653289651">
      <w:bodyDiv w:val="1"/>
      <w:marLeft w:val="0"/>
      <w:marRight w:val="0"/>
      <w:marTop w:val="0"/>
      <w:marBottom w:val="0"/>
      <w:divBdr>
        <w:top w:val="none" w:sz="0" w:space="0" w:color="auto"/>
        <w:left w:val="none" w:sz="0" w:space="0" w:color="auto"/>
        <w:bottom w:val="none" w:sz="0" w:space="0" w:color="auto"/>
        <w:right w:val="none" w:sz="0" w:space="0" w:color="auto"/>
      </w:divBdr>
    </w:div>
    <w:div w:id="1670449794">
      <w:bodyDiv w:val="1"/>
      <w:marLeft w:val="0"/>
      <w:marRight w:val="0"/>
      <w:marTop w:val="0"/>
      <w:marBottom w:val="0"/>
      <w:divBdr>
        <w:top w:val="none" w:sz="0" w:space="0" w:color="auto"/>
        <w:left w:val="none" w:sz="0" w:space="0" w:color="auto"/>
        <w:bottom w:val="none" w:sz="0" w:space="0" w:color="auto"/>
        <w:right w:val="none" w:sz="0" w:space="0" w:color="auto"/>
      </w:divBdr>
    </w:div>
    <w:div w:id="1672758537">
      <w:bodyDiv w:val="1"/>
      <w:marLeft w:val="0"/>
      <w:marRight w:val="0"/>
      <w:marTop w:val="0"/>
      <w:marBottom w:val="0"/>
      <w:divBdr>
        <w:top w:val="none" w:sz="0" w:space="0" w:color="auto"/>
        <w:left w:val="none" w:sz="0" w:space="0" w:color="auto"/>
        <w:bottom w:val="none" w:sz="0" w:space="0" w:color="auto"/>
        <w:right w:val="none" w:sz="0" w:space="0" w:color="auto"/>
      </w:divBdr>
    </w:div>
    <w:div w:id="1683507120">
      <w:bodyDiv w:val="1"/>
      <w:marLeft w:val="0"/>
      <w:marRight w:val="0"/>
      <w:marTop w:val="0"/>
      <w:marBottom w:val="0"/>
      <w:divBdr>
        <w:top w:val="none" w:sz="0" w:space="0" w:color="auto"/>
        <w:left w:val="none" w:sz="0" w:space="0" w:color="auto"/>
        <w:bottom w:val="none" w:sz="0" w:space="0" w:color="auto"/>
        <w:right w:val="none" w:sz="0" w:space="0" w:color="auto"/>
      </w:divBdr>
    </w:div>
    <w:div w:id="1701585356">
      <w:bodyDiv w:val="1"/>
      <w:marLeft w:val="0"/>
      <w:marRight w:val="0"/>
      <w:marTop w:val="0"/>
      <w:marBottom w:val="0"/>
      <w:divBdr>
        <w:top w:val="none" w:sz="0" w:space="0" w:color="auto"/>
        <w:left w:val="none" w:sz="0" w:space="0" w:color="auto"/>
        <w:bottom w:val="none" w:sz="0" w:space="0" w:color="auto"/>
        <w:right w:val="none" w:sz="0" w:space="0" w:color="auto"/>
      </w:divBdr>
    </w:div>
    <w:div w:id="1701976743">
      <w:bodyDiv w:val="1"/>
      <w:marLeft w:val="0"/>
      <w:marRight w:val="0"/>
      <w:marTop w:val="0"/>
      <w:marBottom w:val="0"/>
      <w:divBdr>
        <w:top w:val="none" w:sz="0" w:space="0" w:color="auto"/>
        <w:left w:val="none" w:sz="0" w:space="0" w:color="auto"/>
        <w:bottom w:val="none" w:sz="0" w:space="0" w:color="auto"/>
        <w:right w:val="none" w:sz="0" w:space="0" w:color="auto"/>
      </w:divBdr>
    </w:div>
    <w:div w:id="1714384195">
      <w:bodyDiv w:val="1"/>
      <w:marLeft w:val="0"/>
      <w:marRight w:val="0"/>
      <w:marTop w:val="0"/>
      <w:marBottom w:val="0"/>
      <w:divBdr>
        <w:top w:val="none" w:sz="0" w:space="0" w:color="auto"/>
        <w:left w:val="none" w:sz="0" w:space="0" w:color="auto"/>
        <w:bottom w:val="none" w:sz="0" w:space="0" w:color="auto"/>
        <w:right w:val="none" w:sz="0" w:space="0" w:color="auto"/>
      </w:divBdr>
    </w:div>
    <w:div w:id="1732464356">
      <w:bodyDiv w:val="1"/>
      <w:marLeft w:val="0"/>
      <w:marRight w:val="0"/>
      <w:marTop w:val="0"/>
      <w:marBottom w:val="0"/>
      <w:divBdr>
        <w:top w:val="none" w:sz="0" w:space="0" w:color="auto"/>
        <w:left w:val="none" w:sz="0" w:space="0" w:color="auto"/>
        <w:bottom w:val="none" w:sz="0" w:space="0" w:color="auto"/>
        <w:right w:val="none" w:sz="0" w:space="0" w:color="auto"/>
      </w:divBdr>
    </w:div>
    <w:div w:id="1742561490">
      <w:bodyDiv w:val="1"/>
      <w:marLeft w:val="0"/>
      <w:marRight w:val="0"/>
      <w:marTop w:val="0"/>
      <w:marBottom w:val="0"/>
      <w:divBdr>
        <w:top w:val="none" w:sz="0" w:space="0" w:color="auto"/>
        <w:left w:val="none" w:sz="0" w:space="0" w:color="auto"/>
        <w:bottom w:val="none" w:sz="0" w:space="0" w:color="auto"/>
        <w:right w:val="none" w:sz="0" w:space="0" w:color="auto"/>
      </w:divBdr>
    </w:div>
    <w:div w:id="1757707565">
      <w:bodyDiv w:val="1"/>
      <w:marLeft w:val="0"/>
      <w:marRight w:val="0"/>
      <w:marTop w:val="0"/>
      <w:marBottom w:val="0"/>
      <w:divBdr>
        <w:top w:val="none" w:sz="0" w:space="0" w:color="auto"/>
        <w:left w:val="none" w:sz="0" w:space="0" w:color="auto"/>
        <w:bottom w:val="none" w:sz="0" w:space="0" w:color="auto"/>
        <w:right w:val="none" w:sz="0" w:space="0" w:color="auto"/>
      </w:divBdr>
    </w:div>
    <w:div w:id="1778329853">
      <w:bodyDiv w:val="1"/>
      <w:marLeft w:val="0"/>
      <w:marRight w:val="0"/>
      <w:marTop w:val="0"/>
      <w:marBottom w:val="0"/>
      <w:divBdr>
        <w:top w:val="none" w:sz="0" w:space="0" w:color="auto"/>
        <w:left w:val="none" w:sz="0" w:space="0" w:color="auto"/>
        <w:bottom w:val="none" w:sz="0" w:space="0" w:color="auto"/>
        <w:right w:val="none" w:sz="0" w:space="0" w:color="auto"/>
      </w:divBdr>
    </w:div>
    <w:div w:id="1786536305">
      <w:bodyDiv w:val="1"/>
      <w:marLeft w:val="0"/>
      <w:marRight w:val="0"/>
      <w:marTop w:val="0"/>
      <w:marBottom w:val="0"/>
      <w:divBdr>
        <w:top w:val="none" w:sz="0" w:space="0" w:color="auto"/>
        <w:left w:val="none" w:sz="0" w:space="0" w:color="auto"/>
        <w:bottom w:val="none" w:sz="0" w:space="0" w:color="auto"/>
        <w:right w:val="none" w:sz="0" w:space="0" w:color="auto"/>
      </w:divBdr>
    </w:div>
    <w:div w:id="1859192093">
      <w:bodyDiv w:val="1"/>
      <w:marLeft w:val="0"/>
      <w:marRight w:val="0"/>
      <w:marTop w:val="0"/>
      <w:marBottom w:val="0"/>
      <w:divBdr>
        <w:top w:val="none" w:sz="0" w:space="0" w:color="auto"/>
        <w:left w:val="none" w:sz="0" w:space="0" w:color="auto"/>
        <w:bottom w:val="none" w:sz="0" w:space="0" w:color="auto"/>
        <w:right w:val="none" w:sz="0" w:space="0" w:color="auto"/>
      </w:divBdr>
    </w:div>
    <w:div w:id="1880700051">
      <w:bodyDiv w:val="1"/>
      <w:marLeft w:val="0"/>
      <w:marRight w:val="0"/>
      <w:marTop w:val="0"/>
      <w:marBottom w:val="0"/>
      <w:divBdr>
        <w:top w:val="none" w:sz="0" w:space="0" w:color="auto"/>
        <w:left w:val="none" w:sz="0" w:space="0" w:color="auto"/>
        <w:bottom w:val="none" w:sz="0" w:space="0" w:color="auto"/>
        <w:right w:val="none" w:sz="0" w:space="0" w:color="auto"/>
      </w:divBdr>
    </w:div>
    <w:div w:id="1926910944">
      <w:bodyDiv w:val="1"/>
      <w:marLeft w:val="0"/>
      <w:marRight w:val="0"/>
      <w:marTop w:val="0"/>
      <w:marBottom w:val="0"/>
      <w:divBdr>
        <w:top w:val="none" w:sz="0" w:space="0" w:color="auto"/>
        <w:left w:val="none" w:sz="0" w:space="0" w:color="auto"/>
        <w:bottom w:val="none" w:sz="0" w:space="0" w:color="auto"/>
        <w:right w:val="none" w:sz="0" w:space="0" w:color="auto"/>
      </w:divBdr>
    </w:div>
    <w:div w:id="1932007991">
      <w:bodyDiv w:val="1"/>
      <w:marLeft w:val="0"/>
      <w:marRight w:val="0"/>
      <w:marTop w:val="0"/>
      <w:marBottom w:val="0"/>
      <w:divBdr>
        <w:top w:val="none" w:sz="0" w:space="0" w:color="auto"/>
        <w:left w:val="none" w:sz="0" w:space="0" w:color="auto"/>
        <w:bottom w:val="none" w:sz="0" w:space="0" w:color="auto"/>
        <w:right w:val="none" w:sz="0" w:space="0" w:color="auto"/>
      </w:divBdr>
    </w:div>
    <w:div w:id="1948846477">
      <w:bodyDiv w:val="1"/>
      <w:marLeft w:val="0"/>
      <w:marRight w:val="0"/>
      <w:marTop w:val="0"/>
      <w:marBottom w:val="0"/>
      <w:divBdr>
        <w:top w:val="none" w:sz="0" w:space="0" w:color="auto"/>
        <w:left w:val="none" w:sz="0" w:space="0" w:color="auto"/>
        <w:bottom w:val="none" w:sz="0" w:space="0" w:color="auto"/>
        <w:right w:val="none" w:sz="0" w:space="0" w:color="auto"/>
      </w:divBdr>
    </w:div>
    <w:div w:id="1952206745">
      <w:bodyDiv w:val="1"/>
      <w:marLeft w:val="0"/>
      <w:marRight w:val="0"/>
      <w:marTop w:val="0"/>
      <w:marBottom w:val="0"/>
      <w:divBdr>
        <w:top w:val="none" w:sz="0" w:space="0" w:color="auto"/>
        <w:left w:val="none" w:sz="0" w:space="0" w:color="auto"/>
        <w:bottom w:val="none" w:sz="0" w:space="0" w:color="auto"/>
        <w:right w:val="none" w:sz="0" w:space="0" w:color="auto"/>
      </w:divBdr>
      <w:divsChild>
        <w:div w:id="1876959757">
          <w:marLeft w:val="720"/>
          <w:marRight w:val="0"/>
          <w:marTop w:val="0"/>
          <w:marBottom w:val="0"/>
          <w:divBdr>
            <w:top w:val="none" w:sz="0" w:space="0" w:color="auto"/>
            <w:left w:val="none" w:sz="0" w:space="0" w:color="auto"/>
            <w:bottom w:val="none" w:sz="0" w:space="0" w:color="auto"/>
            <w:right w:val="none" w:sz="0" w:space="0" w:color="auto"/>
          </w:divBdr>
        </w:div>
        <w:div w:id="430274257">
          <w:marLeft w:val="720"/>
          <w:marRight w:val="0"/>
          <w:marTop w:val="0"/>
          <w:marBottom w:val="0"/>
          <w:divBdr>
            <w:top w:val="none" w:sz="0" w:space="0" w:color="auto"/>
            <w:left w:val="none" w:sz="0" w:space="0" w:color="auto"/>
            <w:bottom w:val="none" w:sz="0" w:space="0" w:color="auto"/>
            <w:right w:val="none" w:sz="0" w:space="0" w:color="auto"/>
          </w:divBdr>
        </w:div>
        <w:div w:id="1249581574">
          <w:marLeft w:val="720"/>
          <w:marRight w:val="0"/>
          <w:marTop w:val="0"/>
          <w:marBottom w:val="0"/>
          <w:divBdr>
            <w:top w:val="none" w:sz="0" w:space="0" w:color="auto"/>
            <w:left w:val="none" w:sz="0" w:space="0" w:color="auto"/>
            <w:bottom w:val="none" w:sz="0" w:space="0" w:color="auto"/>
            <w:right w:val="none" w:sz="0" w:space="0" w:color="auto"/>
          </w:divBdr>
        </w:div>
        <w:div w:id="2046179281">
          <w:marLeft w:val="720"/>
          <w:marRight w:val="0"/>
          <w:marTop w:val="0"/>
          <w:marBottom w:val="0"/>
          <w:divBdr>
            <w:top w:val="none" w:sz="0" w:space="0" w:color="auto"/>
            <w:left w:val="none" w:sz="0" w:space="0" w:color="auto"/>
            <w:bottom w:val="none" w:sz="0" w:space="0" w:color="auto"/>
            <w:right w:val="none" w:sz="0" w:space="0" w:color="auto"/>
          </w:divBdr>
        </w:div>
        <w:div w:id="1660890502">
          <w:marLeft w:val="720"/>
          <w:marRight w:val="0"/>
          <w:marTop w:val="0"/>
          <w:marBottom w:val="0"/>
          <w:divBdr>
            <w:top w:val="none" w:sz="0" w:space="0" w:color="auto"/>
            <w:left w:val="none" w:sz="0" w:space="0" w:color="auto"/>
            <w:bottom w:val="none" w:sz="0" w:space="0" w:color="auto"/>
            <w:right w:val="none" w:sz="0" w:space="0" w:color="auto"/>
          </w:divBdr>
        </w:div>
      </w:divsChild>
    </w:div>
    <w:div w:id="1956910454">
      <w:bodyDiv w:val="1"/>
      <w:marLeft w:val="0"/>
      <w:marRight w:val="0"/>
      <w:marTop w:val="0"/>
      <w:marBottom w:val="0"/>
      <w:divBdr>
        <w:top w:val="none" w:sz="0" w:space="0" w:color="auto"/>
        <w:left w:val="none" w:sz="0" w:space="0" w:color="auto"/>
        <w:bottom w:val="none" w:sz="0" w:space="0" w:color="auto"/>
        <w:right w:val="none" w:sz="0" w:space="0" w:color="auto"/>
      </w:divBdr>
    </w:div>
    <w:div w:id="1984845149">
      <w:bodyDiv w:val="1"/>
      <w:marLeft w:val="0"/>
      <w:marRight w:val="0"/>
      <w:marTop w:val="0"/>
      <w:marBottom w:val="0"/>
      <w:divBdr>
        <w:top w:val="none" w:sz="0" w:space="0" w:color="auto"/>
        <w:left w:val="none" w:sz="0" w:space="0" w:color="auto"/>
        <w:bottom w:val="none" w:sz="0" w:space="0" w:color="auto"/>
        <w:right w:val="none" w:sz="0" w:space="0" w:color="auto"/>
      </w:divBdr>
    </w:div>
    <w:div w:id="1985548743">
      <w:bodyDiv w:val="1"/>
      <w:marLeft w:val="0"/>
      <w:marRight w:val="0"/>
      <w:marTop w:val="0"/>
      <w:marBottom w:val="0"/>
      <w:divBdr>
        <w:top w:val="none" w:sz="0" w:space="0" w:color="auto"/>
        <w:left w:val="none" w:sz="0" w:space="0" w:color="auto"/>
        <w:bottom w:val="none" w:sz="0" w:space="0" w:color="auto"/>
        <w:right w:val="none" w:sz="0" w:space="0" w:color="auto"/>
      </w:divBdr>
    </w:div>
    <w:div w:id="1995063331">
      <w:bodyDiv w:val="1"/>
      <w:marLeft w:val="0"/>
      <w:marRight w:val="0"/>
      <w:marTop w:val="0"/>
      <w:marBottom w:val="0"/>
      <w:divBdr>
        <w:top w:val="none" w:sz="0" w:space="0" w:color="auto"/>
        <w:left w:val="none" w:sz="0" w:space="0" w:color="auto"/>
        <w:bottom w:val="none" w:sz="0" w:space="0" w:color="auto"/>
        <w:right w:val="none" w:sz="0" w:space="0" w:color="auto"/>
      </w:divBdr>
    </w:div>
    <w:div w:id="1999184410">
      <w:bodyDiv w:val="1"/>
      <w:marLeft w:val="0"/>
      <w:marRight w:val="0"/>
      <w:marTop w:val="0"/>
      <w:marBottom w:val="0"/>
      <w:divBdr>
        <w:top w:val="none" w:sz="0" w:space="0" w:color="auto"/>
        <w:left w:val="none" w:sz="0" w:space="0" w:color="auto"/>
        <w:bottom w:val="none" w:sz="0" w:space="0" w:color="auto"/>
        <w:right w:val="none" w:sz="0" w:space="0" w:color="auto"/>
      </w:divBdr>
    </w:div>
    <w:div w:id="2004770652">
      <w:bodyDiv w:val="1"/>
      <w:marLeft w:val="0"/>
      <w:marRight w:val="0"/>
      <w:marTop w:val="0"/>
      <w:marBottom w:val="0"/>
      <w:divBdr>
        <w:top w:val="none" w:sz="0" w:space="0" w:color="auto"/>
        <w:left w:val="none" w:sz="0" w:space="0" w:color="auto"/>
        <w:bottom w:val="none" w:sz="0" w:space="0" w:color="auto"/>
        <w:right w:val="none" w:sz="0" w:space="0" w:color="auto"/>
      </w:divBdr>
    </w:div>
    <w:div w:id="2044016284">
      <w:bodyDiv w:val="1"/>
      <w:marLeft w:val="0"/>
      <w:marRight w:val="0"/>
      <w:marTop w:val="0"/>
      <w:marBottom w:val="0"/>
      <w:divBdr>
        <w:top w:val="none" w:sz="0" w:space="0" w:color="auto"/>
        <w:left w:val="none" w:sz="0" w:space="0" w:color="auto"/>
        <w:bottom w:val="none" w:sz="0" w:space="0" w:color="auto"/>
        <w:right w:val="none" w:sz="0" w:space="0" w:color="auto"/>
      </w:divBdr>
    </w:div>
    <w:div w:id="2050061021">
      <w:bodyDiv w:val="1"/>
      <w:marLeft w:val="0"/>
      <w:marRight w:val="0"/>
      <w:marTop w:val="0"/>
      <w:marBottom w:val="0"/>
      <w:divBdr>
        <w:top w:val="none" w:sz="0" w:space="0" w:color="auto"/>
        <w:left w:val="none" w:sz="0" w:space="0" w:color="auto"/>
        <w:bottom w:val="none" w:sz="0" w:space="0" w:color="auto"/>
        <w:right w:val="none" w:sz="0" w:space="0" w:color="auto"/>
      </w:divBdr>
    </w:div>
    <w:div w:id="2053189717">
      <w:bodyDiv w:val="1"/>
      <w:marLeft w:val="0"/>
      <w:marRight w:val="0"/>
      <w:marTop w:val="0"/>
      <w:marBottom w:val="0"/>
      <w:divBdr>
        <w:top w:val="none" w:sz="0" w:space="0" w:color="auto"/>
        <w:left w:val="none" w:sz="0" w:space="0" w:color="auto"/>
        <w:bottom w:val="none" w:sz="0" w:space="0" w:color="auto"/>
        <w:right w:val="none" w:sz="0" w:space="0" w:color="auto"/>
      </w:divBdr>
    </w:div>
    <w:div w:id="2061511361">
      <w:bodyDiv w:val="1"/>
      <w:marLeft w:val="0"/>
      <w:marRight w:val="0"/>
      <w:marTop w:val="0"/>
      <w:marBottom w:val="0"/>
      <w:divBdr>
        <w:top w:val="none" w:sz="0" w:space="0" w:color="auto"/>
        <w:left w:val="none" w:sz="0" w:space="0" w:color="auto"/>
        <w:bottom w:val="none" w:sz="0" w:space="0" w:color="auto"/>
        <w:right w:val="none" w:sz="0" w:space="0" w:color="auto"/>
      </w:divBdr>
      <w:divsChild>
        <w:div w:id="18358957">
          <w:marLeft w:val="0"/>
          <w:marRight w:val="0"/>
          <w:marTop w:val="240"/>
          <w:marBottom w:val="0"/>
          <w:divBdr>
            <w:top w:val="none" w:sz="0" w:space="0" w:color="auto"/>
            <w:left w:val="none" w:sz="0" w:space="0" w:color="auto"/>
            <w:bottom w:val="none" w:sz="0" w:space="0" w:color="auto"/>
            <w:right w:val="none" w:sz="0" w:space="0" w:color="auto"/>
          </w:divBdr>
        </w:div>
        <w:div w:id="20009492">
          <w:marLeft w:val="0"/>
          <w:marRight w:val="0"/>
          <w:marTop w:val="240"/>
          <w:marBottom w:val="0"/>
          <w:divBdr>
            <w:top w:val="none" w:sz="0" w:space="0" w:color="auto"/>
            <w:left w:val="none" w:sz="0" w:space="0" w:color="auto"/>
            <w:bottom w:val="none" w:sz="0" w:space="0" w:color="auto"/>
            <w:right w:val="none" w:sz="0" w:space="0" w:color="auto"/>
          </w:divBdr>
        </w:div>
      </w:divsChild>
    </w:div>
    <w:div w:id="2087722560">
      <w:bodyDiv w:val="1"/>
      <w:marLeft w:val="0"/>
      <w:marRight w:val="0"/>
      <w:marTop w:val="0"/>
      <w:marBottom w:val="0"/>
      <w:divBdr>
        <w:top w:val="none" w:sz="0" w:space="0" w:color="auto"/>
        <w:left w:val="none" w:sz="0" w:space="0" w:color="auto"/>
        <w:bottom w:val="none" w:sz="0" w:space="0" w:color="auto"/>
        <w:right w:val="none" w:sz="0" w:space="0" w:color="auto"/>
      </w:divBdr>
    </w:div>
    <w:div w:id="2098819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red</b:Tag>
    <b:SourceType>InternetSite</b:SourceType>
    <b:Guid>{929690FA-1A49-4A2F-99EE-3E0E01B63FAE}</b:Guid>
    <b:Author>
      <b:Author>
        <b:NameList>
          <b:Person>
            <b:Last>redhat.com</b:Last>
          </b:Person>
        </b:NameList>
      </b:Author>
    </b:Author>
    <b:InternetSiteTitle>History</b:InternetSiteTitle>
    <b:URL>http://www.redhat.com/about/companyprofile/history/</b:URL>
    <b:RefOrder>1</b:RefOrder>
  </b:Source>
  <b:Source>
    <b:Tag>Mik03</b:Tag>
    <b:SourceType>Misc</b:SourceType>
    <b:Guid>{67A2DED6-FDC6-42DE-9302-890CEF2A2A26}</b:Guid>
    <b:Year>2003</b:Year>
    <b:Author>
      <b:Author>
        <b:NameList>
          <b:Person>
            <b:Last>Angelo</b:Last>
            <b:First>Mike</b:First>
          </b:Person>
        </b:NameList>
      </b:Author>
    </b:Author>
    <b:Title>Simple logical-anatomy of a Linux-based distribution</b:Title>
    <b:RefOrder>2</b:RefOrder>
  </b:Source>
  <b:Source>
    <b:Tag>Avi08</b:Tag>
    <b:SourceType>InternetSite</b:SourceType>
    <b:Guid>{3F769099-46BD-42A9-9469-D4A0F12B21C4}</b:Guid>
    <b:Author>
      <b:Author>
        <b:NameList>
          <b:Person>
            <b:Last>Kumar</b:Last>
            <b:First>Avinesh</b:First>
          </b:Person>
        </b:NameList>
      </b:Author>
    </b:Author>
    <b:InternetSiteTitle>Mutliprocessing with the Completely Fair Scheduler</b:InternetSiteTitle>
    <b:Year>08</b:Year>
    <b:Month>Jan</b:Month>
    <b:URL>http://www.ibm.com/developerworks/linux/library/l-cfs/?ca=dgr-lnxw06CFC4Linux</b:URL>
    <b:RefOrder>3</b:RefOrder>
  </b:Source>
  <b:Source>
    <b:Tag>red1</b:Tag>
    <b:SourceType>InternetSite</b:SourceType>
    <b:Guid>{B7583E97-573A-4485-AE97-E2AE90B1B0A9}</b:Guid>
    <b:Author>
      <b:Author>
        <b:NameList>
          <b:Person>
            <b:Last>redhat</b:Last>
          </b:Person>
        </b:NameList>
      </b:Author>
    </b:Author>
    <b:InternetSiteTitle>Red Hat Labs</b:InternetSiteTitle>
    <b:URL>www.labs.redhat.com</b:URL>
    <b:RefOrder>4</b:RefOrder>
  </b:Source>
  <b:Source>
    <b:Tag>Joh</b:Tag>
    <b:SourceType>InternetSite</b:SourceType>
    <b:Guid>{5D07AD27-046B-46FA-A30D-FEAE54272F3F}</b:Guid>
    <b:Author>
      <b:Author>
        <b:NameList>
          <b:Person>
            <b:Last>Shakshober</b:Last>
            <b:First>John</b:First>
          </b:Person>
        </b:NameList>
      </b:Author>
    </b:Author>
    <b:InternetSiteTitle>Choosing an I/O Scheduler for Red Hat</b:InternetSiteTitle>
    <b:URL>http://www.redhat.com/magazine/008jun05/features/schedulers/ </b:URL>
    <b:RefOrder>5</b:RefOrder>
  </b:Source>
  <b:Source>
    <b:Tag>eHo09</b:Tag>
    <b:SourceType>InternetSite</b:SourceType>
    <b:Guid>{64AFFC9E-E38D-48C4-AF31-24200F62F07B}</b:Guid>
    <b:InternetSiteTitle>eHow.com</b:InternetSiteTitle>
    <b:Year>2009</b:Year>
    <b:Month>September</b:Month>
    <b:URL>http://www.ehow.com/about_5347803_main-memory-computer.html</b:URL>
    <b:Author>
      <b:Author>
        <b:NameList>
          <b:Person>
            <b:Last>Landers</b:Last>
            <b:First>John</b:First>
          </b:Person>
        </b:NameList>
      </b:Author>
    </b:Author>
    <b:RefOrder>6</b:RefOrder>
  </b:Source>
  <b:Source>
    <b:Tag>Red</b:Tag>
    <b:SourceType>InternetSite</b:SourceType>
    <b:Guid>{4698EF43-A28B-490A-8D73-9B68036CFDE3}</b:Guid>
    <b:InternetSiteTitle>Red Hat Documentation - Main Memory - RAM</b:InternetSiteTitle>
    <b:URL>http://docs.redhat.com/docs/en-US/Red_Hat_Enterprise_Linux/4/html/Introduction_To_System_Administration/s2-memory-ram.html</b:URL>
    <b:RefOrder>7</b:RefOrder>
  </b:Source>
  <b:Source>
    <b:Tag>Red1</b:Tag>
    <b:SourceType>InternetSite</b:SourceType>
    <b:Guid>{FE3D5E53-8A24-478E-BCA0-29AE8F0880B6}</b:Guid>
    <b:InternetSiteTitle>Red Hat Documentation - Swap Space</b:InternetSiteTitle>
    <b:URL>http://docs.redhat.com/docs/en-US/Red_Hat_Enterprise_Linux/6/html/Storage_Administration_Guide/ch-swapspace.html</b:URL>
    <b:RefOrder>8</b:RefOrder>
  </b:Source>
  <b:Source>
    <b:Tag>Red2</b:Tag>
    <b:SourceType>InternetSite</b:SourceType>
    <b:Guid>{E8F90E4B-9480-4081-8144-F3D215A437C1}</b:Guid>
    <b:InternetSiteTitle>Red Hat Documentation - Memory Allocation</b:InternetSiteTitle>
    <b:URL>http://docs.redhat.com/docs/en-US/Red_Hat_Enterprise_MRG/1.3/html/Realtime_Reference_Guide/chap-Realtime_Reference_Guide-Memory_allocation.html</b:URL>
    <b:RefOrder>9</b:RefOrder>
  </b:Source>
  <b:Source>
    <b:Tag>Red07</b:Tag>
    <b:SourceType>DocumentFromInternetSite</b:SourceType>
    <b:Guid>{42BC91D7-F731-4EF5-B2BD-373199EAEE7E}</b:Guid>
    <b:InternetSiteTitle>Red Hat Enterprise Linux 5.1</b:InternetSiteTitle>
    <b:Year>2007</b:Year>
    <b:URL>http://docs.redhat.com/docs/en-US/Red_Hat_Enterprise_Linux/5/html/Oracle_Tuning_Guide/RHELTuningandOptimizationforOracleV11.pdf</b:URL>
    <b:RefOrder>10</b:RefOrder>
  </b:Source>
  <b:Source>
    <b:Tag>Nor</b:Tag>
    <b:SourceType>InternetSite</b:SourceType>
    <b:Guid>{5047EC0E-199B-4BB4-B3BD-650BB6D9121D}</b:Guid>
    <b:Author>
      <b:Author>
        <b:NameList>
          <b:Person>
            <b:Last>Murray</b:Last>
            <b:First>Norm</b:First>
          </b:Person>
          <b:Person>
            <b:Last>Horman</b:Last>
            <b:First>Neil</b:First>
          </b:Person>
        </b:NameList>
      </b:Author>
    </b:Author>
    <b:InternetSiteTitle>Red Hat Magazine - Understanding Virtual Memory</b:InternetSiteTitle>
    <b:URL>http://www.redhat.com/magazine/001nov04/features/vm/</b:URL>
    <b:Year>2004</b:Year>
    <b:Month>November</b:Month>
    <b:RefOrder>11</b:RefOrder>
  </b:Source>
  <b:Source>
    <b:Tag>Lin</b:Tag>
    <b:SourceType>InternetSite</b:SourceType>
    <b:Guid>{56FCF00E-C9DB-4A34-850F-82AC1E502412}</b:Guid>
    <b:InternetSiteTitle>Linux.com - All about Linux swap space</b:InternetSiteTitle>
    <b:URL>http://www.linux.com/news/software/applications/8208-all-about-linux-swap-space</b:URL>
    <b:Year>2007</b:Year>
    <b:Month>September</b:Month>
    <b:RefOrder>12</b:RefOrder>
  </b:Source>
  <b:Source>
    <b:Tag>Und05</b:Tag>
    <b:SourceType>InternetSite</b:SourceType>
    <b:Guid>{FA7820CF-3179-4B09-9F33-3C53F55DEFC6}</b:Guid>
    <b:InternetSiteTitle>Understanding Virtual Memory In Red Hat Enterprise Linux 4</b:InternetSiteTitle>
    <b:Year>2005</b:Year>
    <b:Month>December</b:Month>
    <b:URL>http://people.redhat.com/nhorman/papers/rhel4_vm.pdf</b:URL>
    <b:Author>
      <b:Author>
        <b:NameList>
          <b:Person>
            <b:Last>Horman</b:Last>
            <b:First>Neil</b:First>
          </b:Person>
        </b:NameList>
      </b:Author>
    </b:Author>
    <b:RefOrder>13</b:RefOrder>
  </b:Source>
  <b:Source>
    <b:Tag>Jon07</b:Tag>
    <b:SourceType>InternetSite</b:SourceType>
    <b:Guid>{647C52B0-BB4D-42E3-A996-F8657CA0DE96}</b:Guid>
    <b:Author>
      <b:Author>
        <b:NameList>
          <b:Person>
            <b:Last>Jones</b:Last>
            <b:First>M.</b:First>
            <b:Middle>Tim</b:Middle>
          </b:Person>
        </b:NameList>
      </b:Author>
    </b:Author>
    <b:InternetSiteTitle>IBM.com - Anatomy of the Linux slab allocator</b:InternetSiteTitle>
    <b:Year>2007</b:Year>
    <b:Month>May</b:Month>
    <b:URL>http://www.ibm.com/developerworks/linux/library/l-linux-slab-allocator/</b:URL>
    <b:RefOrder>14</b:RefOrder>
  </b:Source>
  <b:Source>
    <b:Tag>Tec</b:Tag>
    <b:SourceType>InternetSite</b:SourceType>
    <b:Guid>{B0CBCEE4-A80F-481A-82BD-47B9A3C73832}</b:Guid>
    <b:InternetSiteTitle>TechTerms.com - Secondary Storage</b:InternetSiteTitle>
    <b:URL>http://www.techterms.com/definition/secondarystorage</b:URL>
    <b:RefOrder>15</b:RefOrder>
  </b:Source>
  <b:Source>
    <b:Tag>Red3</b:Tag>
    <b:SourceType>DocumentFromInternetSite</b:SourceType>
    <b:Guid>{A6938520-5F6F-40F3-B2BB-E3895160831D}</b:Guid>
    <b:InternetSiteTitle>Red Hat Documentation - Overview of File System Hierarchy Standard (FHS)</b:InternetSiteTitle>
    <b:URL>http://docs.redhat.com/docs/en-US/Red_Hat_Enterprise_Linux/6/html/Storage_Administration_Guide/s1-filesystem-fhs.html</b:URL>
    <b:RefOrder>16</b:RefOrder>
  </b:Source>
  <b:Source>
    <b:Tag>The06</b:Tag>
    <b:SourceType>InternetSite</b:SourceType>
    <b:Guid>{7D81F3D4-9A17-4F64-AEAB-D6724A64B800}</b:Guid>
    <b:InternetSiteTitle>The Linux Information Project (LINFO) - The /mnt Directory</b:InternetSiteTitle>
    <b:Year>2006</b:Year>
    <b:Month>February</b:Month>
    <b:URL>http://www.linfo.org/mnt.html</b:URL>
    <b:RefOrder>17</b:RefOrder>
  </b:Source>
  <b:Source>
    <b:Tag>The01</b:Tag>
    <b:SourceType>DocumentFromInternetSite</b:SourceType>
    <b:Guid>{4475B215-63A2-47F3-A346-CAC210AC9B0F}</b:Guid>
    <b:InternetSiteTitle>The Official Red Hat Linux Reference Guide</b:InternetSiteTitle>
    <b:Year>2001</b:Year>
    <b:URL>http://www.redhat.com/docs/manuals/linux/RHL-7.1-Manual/pdf/rhl71-rg.pdf</b:URL>
    <b:RefOrder>18</b:RefOrder>
  </b:Source>
  <b:Source>
    <b:Tag>The011</b:Tag>
    <b:SourceType>DocumentFromInternetSite</b:SourceType>
    <b:Guid>{3C93C04E-83BF-417C-B9E7-7EF5EECC66AA}</b:Guid>
    <b:InternetSiteTitle>The Official Red Hat Linux Getting Started Guide</b:InternetSiteTitle>
    <b:Year>2001</b:Year>
    <b:URL>http://www.redhat.com/docs/manuals/linux/RHL-7.1-Manual/pdf/rhl71-gsg.pdf</b:URL>
    <b:RefOrder>19</b:RefOrder>
  </b:Source>
  <b:Source>
    <b:Tag>Hel07</b:Tag>
    <b:SourceType>DocumentFromInternetSite</b:SourceType>
    <b:Guid>{879933CE-F3D6-4D28-BB2B-B62BF32A5CFD}</b:Guid>
    <b:Author>
      <b:Author>
        <b:NameList>
          <b:Person>
            <b:Last>Heller</b:Last>
            <b:First>Dave</b:First>
          </b:Person>
          <b:Person>
            <b:Last>Pierson</b:Last>
            <b:First>Dave</b:First>
          </b:Person>
        </b:NameList>
      </b:Author>
    </b:Author>
    <b:InternetSiteTitle>Installing Red Hat Linux from a USB flashdrive</b:InternetSiteTitle>
    <b:Year>2007</b:Year>
    <b:Month>November</b:Month>
    <b:URL>http://www-03.ibm.com/support/techdocs/atsmastr.nsf/5cb5ed706d254a8186256c71006d2e0a/075b0425275140b48625744700089bb6/$FILE/Installing%20Linux%20from%20a%20USB%20flashdrive.v20.pdf</b:URL>
    <b:RefOrder>20</b:RefOrder>
  </b:Source>
  <b:Source>
    <b:Tag>PCG01</b:Tag>
    <b:SourceType>DocumentFromInternetSite</b:SourceType>
    <b:Guid>{4FA714A0-37B7-47F8-87E0-A7750BAFAB1F}</b:Guid>
    <b:InternetSiteTitle>PCGuide - Ref - RAID Levels</b:InternetSiteTitle>
    <b:Year>2001</b:Year>
    <b:Month>April</b:Month>
    <b:URL>http://pcguide.com/ref/hdd/perf/raid/levels/index.htm</b:URL>
    <b:Author>
      <b:Author>
        <b:NameList>
          <b:Person>
            <b:Last>Kozierok</b:Last>
            <b:First>Charles</b:First>
            <b:Middle>M</b:Middle>
          </b:Person>
        </b:NameList>
      </b:Author>
    </b:Author>
    <b:RefOrder>21</b:RefOrder>
  </b:Source>
  <b:Source>
    <b:Tag>RAI</b:Tag>
    <b:SourceType>DocumentFromInternetSite</b:SourceType>
    <b:Guid>{C49927C5-88FB-42D9-B950-3B5F17EA5AD8}</b:Guid>
    <b:InternetSiteTitle>RAID: High Performance, Reliable Secondary Storage</b:InternetSiteTitle>
    <b:URL>http://citeseerx.ist.psu.edu/viewdoc/download?doi=10.1.1.17.7866&amp;rep=rep1&amp;type=pdf</b:URL>
    <b:Author>
      <b:Author>
        <b:NameList>
          <b:Person>
            <b:Last>Chen</b:Last>
            <b:First>Peter</b:First>
            <b:Middle>M</b:Middle>
          </b:Person>
          <b:Person>
            <b:Last>Lee</b:Last>
            <b:First>Edward</b:First>
            <b:Middle>K</b:Middle>
          </b:Person>
          <b:Person>
            <b:Last>Gibson</b:Last>
            <b:First>Garth</b:First>
            <b:Middle>A</b:Middle>
          </b:Person>
          <b:Person>
            <b:Last>Katz</b:Last>
            <b:First>Randy</b:First>
            <b:Middle>H</b:Middle>
          </b:Person>
          <b:Person>
            <b:Last>Patterson</b:Last>
            <b:First>David</b:First>
            <b:Middle>A</b:Middle>
          </b:Person>
        </b:NameList>
      </b:Author>
    </b:Author>
    <b:RefOrder>22</b:RefOrder>
  </b:Source>
  <b:Source>
    <b:Tag>Red10asdf</b:Tag>
    <b:SourceType>DocumentFromInternetSite</b:SourceType>
    <b:Guid>{4DCF9059-7613-4A2B-B917-43C0291603B5}</b:Guid>
    <b:InternetSiteTitle>Red Hat Enterprise Linux 6 - Release Notes</b:InternetSiteTitle>
    <b:Year>2010</b:Year>
    <b:URL>http://docs.redhat.com/docs/en-US/Red_Hat_Enterprise_Linux/6/pdf/Release_Notes/Red_Hat_Enterprise_Linux-6-Release_Notes-en-US.pdf</b:URL>
    <b:RefOrder>23</b:RefOrder>
  </b:Source>
  <b:Source>
    <b:Tag>Red10</b:Tag>
    <b:SourceType>DocumentFromInternetSite</b:SourceType>
    <b:Guid>{09536BF1-B849-4DFA-B577-C3AF6C4A1A71}</b:Guid>
    <b:InternetSiteTitle>Red Hat Enterprise Linux 6 - Logical Volume Manager Administration</b:InternetSiteTitle>
    <b:Year>2010</b:Year>
    <b:URL>http://docs.redhat.com/docs/en-US/Red_Hat_Enterprise_Linux/6/pdf/Logical_Volume_Manager_Administration/Red_Hat_Enterprise_Linux-6-Logical_Volume_Manager_Administration-en-US.pdf</b:URL>
    <b:RefOrder>24</b:RefOrder>
  </b:Source>
  <b:Source>
    <b:Tag>Mar031</b:Tag>
    <b:SourceType>InternetSite</b:SourceType>
    <b:Guid>{724FF414-36DD-4B24-94A7-12ADE4F19E8D}</b:Guid>
    <b:Author>
      <b:Author>
        <b:NameList>
          <b:Person>
            <b:Last>Finley</b:Last>
            <b:First>Mark</b:First>
          </b:Person>
        </b:NameList>
      </b:Author>
    </b:Author>
    <b:InternetSiteTitle>On the Nature of Linux</b:InternetSiteTitle>
    <b:Year>2003</b:Year>
    <b:Month>Feb</b:Month>
    <b:URL>http://www.linux.ie/articles/onthenatureoflinux.php</b:URL>
    <b:RefOrder>25</b:RefOrder>
  </b:Source>
  <b:Source>
    <b:Tag>Dav</b:Tag>
    <b:SourceType>InternetSite</b:SourceType>
    <b:Guid>{F300EB04-D404-4225-9B7C-6312ADD9DE9C}</b:Guid>
    <b:Author>
      <b:Author>
        <b:NameList>
          <b:Person>
            <b:Last>Rusling</b:Last>
            <b:First>David</b:First>
          </b:Person>
        </b:NameList>
      </b:Author>
    </b:Author>
    <b:InternetSiteTitle>Interprocess Communication Mechanism</b:InternetSiteTitle>
    <b:URL>http://tldp.org/LDP/tlk/ipc/ipc.html</b:URL>
    <b:RefOrder>26</b:RefOrder>
  </b:Source>
  <b:Source>
    <b:Tag>LinLin</b:Tag>
    <b:SourceType>InternetSite</b:SourceType>
    <b:Guid>{DD08B106-9B3C-4DFD-8869-2A697CCCA317}</b:Guid>
    <b:InternetSiteTitle>Linux- The Shell</b:InternetSiteTitle>
    <b:URL>http://en.kioskea.net/contents/linux/linshell.php3</b:URL>
    <b:RefOrder>27</b:RefOrder>
  </b:Source>
  <b:Source>
    <b:Tag>Tim08</b:Tag>
    <b:SourceType>InternetSite</b:SourceType>
    <b:Guid>{2BE5FE28-5687-45AC-A3F8-7909C68E52BD}</b:Guid>
    <b:Author>
      <b:Author>
        <b:NameList>
          <b:Person>
            <b:Last>Jones</b:Last>
            <b:First>Tim</b:First>
          </b:Person>
        </b:NameList>
      </b:Author>
    </b:Author>
    <b:InternetSiteTitle>Anatomy of Linux process Managment</b:InternetSiteTitle>
    <b:Year>2008</b:Year>
    <b:Month>Dec</b:Month>
    <b:URL>http://www.ibm.com/developerworks/linux/library/l-linux-process-management/</b:URL>
    <b:RefOrder>28</b:RefOrder>
  </b:Source>
  <b:Source>
    <b:Tag>Bov00</b:Tag>
    <b:SourceType>InternetSite</b:SourceType>
    <b:Guid>{43D207C8-2942-4D65-8B9E-E9F717A1B269}</b:Guid>
    <b:Author>
      <b:Author>
        <b:NameList>
          <b:Person>
            <b:Last>Bovet</b:Last>
            <b:Middle>P</b:Middle>
            <b:First>Daniel</b:First>
          </b:Person>
          <b:Person>
            <b:Last>Cesati</b:Last>
            <b:First>Marco</b:First>
          </b:Person>
        </b:NameList>
      </b:Author>
    </b:Author>
    <b:InternetSiteTitle>http://oreilly.com/catalog/linuxkernel/chapter/ch10.html#94726</b:InternetSiteTitle>
    <b:Year>2000</b:Year>
    <b:Month>Oct</b:Month>
    <b:URL>http://oreilly.com/catalog/linuxkernel/chapter/ch10.html#94726</b:URL>
    <b:RefOrder>29</b:RefOrder>
  </b:Source>
  <b:Source>
    <b:Tag>Gar00</b:Tag>
    <b:SourceType>InternetSite</b:SourceType>
    <b:Guid>{691718D4-EAAB-44F7-9B93-BEAFDBDB4D49}</b:Guid>
    <b:InternetSiteTitle>POSIX Thread Libraries</b:InternetSiteTitle>
    <b:Year>2000</b:Year>
    <b:Month>FEB</b:Month>
    <b:URL>http://www.linuxjournal.com/article/3184</b:URL>
    <b:Author>
      <b:Author>
        <b:NameList>
          <b:Person>
            <b:Last>Garcia</b:Last>
            <b:First>Felix</b:First>
          </b:Person>
          <b:Person>
            <b:Last>Fernandez</b:Last>
            <b:First>Javier</b:First>
          </b:Person>
        </b:NameList>
      </b:Author>
    </b:Author>
    <b:RefOrder>30</b:RefOrder>
  </b:Source>
  <b:Source>
    <b:Tag>Bla</b:Tag>
    <b:SourceType>InternetSite</b:SourceType>
    <b:Guid>{990DD323-4268-48CA-BE2C-2C58E229D764}</b:Guid>
    <b:InternetSiteTitle>POSIX Threads Programming</b:InternetSiteTitle>
    <b:URL>https://computing.llnl.gov/tutorials/pthreads/#PassingArguments</b:URL>
    <b:Author>
      <b:Author>
        <b:NameList>
          <b:Person>
            <b:Last>Blaise</b:Last>
            <b:First>Barney</b:First>
          </b:Person>
        </b:NameList>
      </b:Author>
    </b:Author>
    <b:RefOrder>31</b:RefOrder>
  </b:Source>
  <b:Source>
    <b:Tag>Redpthreads</b:Tag>
    <b:SourceType>InternetSite</b:SourceType>
    <b:Guid>{471B70DF-EB73-4D61-B973-FA406C7FB7F3}</b:Guid>
    <b:Author>
      <b:Author>
        <b:Corporate>Red Hat</b:Corporate>
      </b:Author>
    </b:Author>
    <b:InternetSiteTitle>Realtime Reference Guide</b:InternetSiteTitle>
    <b:URL>http://docs.redhat.com/docs/en-US/Red_Hat_Enterprise_MRG/1.2/html-single/Realtime_Reference_Guide/#chap-Realtime_Reference_Guide-Threads_and_processes</b:URL>
    <b:RefOrder>32</b:RefOrder>
  </b:Source>
  <b:Source>
    <b:Tag>Dre</b:Tag>
    <b:SourceType>Misc</b:SourceType>
    <b:Guid>{DE02558C-0A86-41DC-BFC8-B2300845A881}</b:Guid>
    <b:Author>
      <b:Author>
        <b:NameList>
          <b:Person>
            <b:Last>Drepper</b:Last>
            <b:First>Ulrich</b:First>
          </b:Person>
          <b:Person>
            <b:Last>Molna</b:Last>
            <b:First>Ingo</b:First>
          </b:Person>
        </b:NameList>
      </b:Author>
    </b:Author>
    <b:InternetSiteTitle>The Native POSIX Thread Library for Linux</b:InternetSiteTitle>
    <b:Title>The Native POSIX Thread Library for Linux</b:Title>
    <b:RefOrder>33</b:RefOrder>
  </b:Source>
  <b:Source>
    <b:Tag>Shu07</b:Tag>
    <b:SourceType>InternetSite</b:SourceType>
    <b:Guid>{3718E171-4E7A-4D56-AD02-D6309690EB83}</b:Guid>
    <b:Author>
      <b:Author>
        <b:NameList>
          <b:Person>
            <b:Last>Shukla</b:Last>
            <b:First>Vikram</b:First>
          </b:Person>
        </b:NameList>
      </b:Author>
    </b:Author>
    <b:Year>2007</b:Year>
    <b:InternetSiteTitle>Semaphores in Linux</b:InternetSiteTitle>
    <b:Month>May</b:Month>
    <b:URL>http://linuxdevcenter.com/pub/a/linux/2007/05/24/semaphores-in-linux.html</b:URL>
    <b:RefOrder>34</b:RefOrder>
  </b:Source>
  <b:Source>
    <b:Tag>Mut</b:Tag>
    <b:SourceType>InternetSite</b:SourceType>
    <b:Guid>{138CDD78-ACCD-420B-B04A-B1E17F7A3C08}</b:Guid>
    <b:InternetSiteTitle>Mutual Exclusion within a Single Processor Linux kernel</b:InternetSiteTitle>
    <b:URL>http://parallel.rz.uni-mannheim.de/Linux/smp/node2.html</b:URL>
    <b:RefOrder>35</b:RefOrder>
  </b:Source>
  <b:Source>
    <b:Tag>red2</b:Tag>
    <b:SourceType>Misc</b:SourceType>
    <b:Guid>{56B2E945-21A0-4DB7-90EE-E90360031709}</b:Guid>
    <b:Author>
      <b:Author>
        <b:NameList>
          <b:Person>
            <b:Last>redHat</b:Last>
          </b:Person>
        </b:NameList>
      </b:Author>
    </b:Author>
    <b:Title>Red Hat Enterprise Linux Security</b:Title>
    <b:Comments>pdf</b:Comments>
    <b:RefOrder>36</b:RefOrder>
  </b:Source>
  <b:Source>
    <b:Tag>red3</b:Tag>
    <b:SourceType>Misc</b:SourceType>
    <b:Guid>{25F195B5-30CA-454A-B02D-9D3F9C73CE16}</b:Guid>
    <b:Author>
      <b:Author>
        <b:NameList>
          <b:Person>
            <b:Last>redHat</b:Last>
          </b:Person>
        </b:NameList>
      </b:Author>
    </b:Author>
    <b:Title>Red Hat Enterprise linux Security 4</b:Title>
    <b:Comments>http://www.centos.org/docs/4/pdf/rhel-sg-en.pdf</b:Comments>
    <b:RefOrder>37</b:RefOrder>
  </b:Source>
  <b:Source>
    <b:Tag>firewall</b:Tag>
    <b:SourceType>InternetSite</b:SourceType>
    <b:Guid>{9952B1B3-D566-4C84-B61B-78F9016BE90C}</b:Guid>
    <b:Author>
      <b:Author>
        <b:NameList>
          <b:Person>
            <b:Last>redHat</b:Last>
          </b:Person>
        </b:NameList>
      </b:Author>
    </b:Author>
    <b:InternetSiteTitle>Firewall Configuration</b:InternetSiteTitle>
    <b:URL>http://docs.redhat.com/docs/en-US/Red_Hat_Enterprise_Linux/3/html/Installation_Guide_s390/s1-firewallconfig.html</b:URL>
    <b:RefOrder>38</b:RefOrder>
  </b:Source>
  <b:Source>
    <b:Tag>GHA</b:Tag>
    <b:SourceType>InternetSite</b:SourceType>
    <b:Guid>{B154D775-0656-41E4-A1B1-7CAFEB2FA646}</b:Guid>
    <b:Author>
      <b:Author>
        <b:NameList>
          <b:Person>
            <b:Last>GHAZALI</b:Last>
          </b:Person>
        </b:NameList>
      </b:Author>
    </b:Author>
    <b:InternetSiteTitle>Configuring Iptables Nat Firewall</b:InternetSiteTitle>
    <b:URL>http://ghaza.li/tutorial/linux/configuring-iptables-nat-firewalling/</b:URL>
    <b:RefOrder>39</b:RefOrder>
  </b:Source>
  <b:Source>
    <b:Tag>Gui</b:Tag>
    <b:SourceType>InternetSite</b:SourceType>
    <b:Guid>{7495F383-0A33-4091-B20C-A0A334658FCB}</b:Guid>
    <b:InternetSiteTitle>Guide to the Secure Configuration of REd Hat Enterprise Linux 5</b:InternetSiteTitle>
    <b:URL>http://www.nsa.gov/ia/_files/os/redhat/rhel5-guide-i731.pdf</b:URL>
    <b:RefOrder>40</b:RefOrder>
  </b:Source>
  <b:Source>
    <b:Tag>selinxguid</b:Tag>
    <b:SourceType>InternetSite</b:SourceType>
    <b:Guid>{87BB9E94-50D0-4526-A83A-F74551FD54DD}</b:Guid>
    <b:Author>
      <b:Author>
        <b:NameList>
          <b:Person>
            <b:Last>redHat</b:Last>
          </b:Person>
        </b:NameList>
      </b:Author>
    </b:Author>
    <b:InternetSiteTitle>SELinux Guide</b:InternetSiteTitle>
    <b:URL>http://docs.redhat.com/docs/en-US/Red_Hat_Enterprise_Linux/4/html/SELinux_Guide/selg-preface-0011.html</b:URL>
    <b:RefOrder>41</b:RefOrder>
  </b:Source>
  <b:Source>
    <b:Tag>audting</b:Tag>
    <b:SourceType>InternetSite</b:SourceType>
    <b:Guid>{6263B7B9-021F-4726-88B6-44A62897835C}</b:Guid>
    <b:Author>
      <b:Author>
        <b:NameList>
          <b:Person>
            <b:Last>redHat</b:Last>
          </b:Person>
        </b:NameList>
      </b:Author>
    </b:Author>
    <b:InternetSiteTitle>Documentation = Auditing</b:InternetSiteTitle>
    <b:URL>http://docs.redhat.com/docs/en-US/JBoss_Enterprise_Application_Platform/5/html/Security_Guide/chap-Security_Event_Auditing.html</b:URL>
    <b:RefOrder>42</b:RefOrder>
  </b:Source>
  <b:Source>
    <b:Tag>ssid</b:Tag>
    <b:SourceType>InternetSite</b:SourceType>
    <b:Guid>{2791A77F-95DE-4772-92D9-7BD95DB06ABF}</b:Guid>
    <b:Author>
      <b:Author>
        <b:NameList>
          <b:Person>
            <b:Last>redhat</b:Last>
          </b:Person>
        </b:NameList>
      </b:Author>
    </b:Author>
    <b:InternetSiteTitle>SSID Feature</b:InternetSiteTitle>
    <b:URL>http://docs.redhat.com/docs/en-US/Red_Hat_Enterprise_Linux/6/html/Deployment_Guide/sect-SSSD_User_Guide-Introduction-SSSD_Features.html</b:URL>
    <b:RefOrder>43</b:RefOrder>
  </b:Source>
</b:Sources>
</file>

<file path=customXml/itemProps1.xml><?xml version="1.0" encoding="utf-8"?>
<ds:datastoreItem xmlns:ds="http://schemas.openxmlformats.org/officeDocument/2006/customXml" ds:itemID="{9D8BE8AA-B8F8-4331-BDFF-C7897CDC6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1412</TotalTime>
  <Pages>9</Pages>
  <Words>4701</Words>
  <Characters>26802</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International Journal of Scientific Research in Science and Technology</vt:lpstr>
    </vt:vector>
  </TitlesOfParts>
  <Manager>TechnoScience Academy;http://technoscienceacademy.com</Manager>
  <Company>TechnoScience Academy;http://technoscienceacademy.com</Company>
  <LinksUpToDate>false</LinksUpToDate>
  <CharactersWithSpaces>31441</CharactersWithSpaces>
  <SharedDoc>false</SharedDoc>
  <HLinks>
    <vt:vector size="12" baseType="variant">
      <vt:variant>
        <vt:i4>1507336</vt:i4>
      </vt:variant>
      <vt:variant>
        <vt:i4>0</vt:i4>
      </vt:variant>
      <vt:variant>
        <vt:i4>0</vt:i4>
      </vt:variant>
      <vt:variant>
        <vt:i4>5</vt:i4>
      </vt:variant>
      <vt:variant>
        <vt:lpwstr>http://www.isi.edu/nsnam/ns/</vt:lpwstr>
      </vt:variant>
      <vt:variant>
        <vt:lpwstr/>
      </vt:variant>
      <vt:variant>
        <vt:i4>3670139</vt:i4>
      </vt:variant>
      <vt:variant>
        <vt:i4>0</vt:i4>
      </vt:variant>
      <vt:variant>
        <vt:i4>0</vt:i4>
      </vt:variant>
      <vt:variant>
        <vt:i4>5</vt:i4>
      </vt:variant>
      <vt:variant>
        <vt:lpwstr>http://www.ijseset.com/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Journal of Scientific Research in Science and Technology</dc:title>
  <dc:subject>Research Paper</dc:subject>
  <dc:creator>TechnoScience Academy;http://technoscienceacademy.com</dc:creator>
  <cp:keywords>IJSRST; www.ijsrst.com</cp:keywords>
  <dc:description>International Journal of Scientific Research in Science and Technology</dc:description>
  <cp:lastModifiedBy>Prof. Bhavesh Kataria</cp:lastModifiedBy>
  <cp:revision>671</cp:revision>
  <cp:lastPrinted>2024-04-21T11:45:00Z</cp:lastPrinted>
  <dcterms:created xsi:type="dcterms:W3CDTF">2018-10-30T08:32:00Z</dcterms:created>
  <dcterms:modified xsi:type="dcterms:W3CDTF">2025-07-23T03:56:00Z</dcterms:modified>
  <cp:category>IJSRST;http://ijsrst.com</cp:category>
  <cp:contentStatus>Active</cp:contentStatus>
  <dc:language>English</dc:language>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75873e161d7bb49043bec4ddaa451b79148a56356657ec33d908d4b10c576b38</vt:lpwstr>
  </property>
</Properties>
</file>